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76"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 </w:t>
      </w:r>
    </w:p>
    <w:p>
      <w:pPr>
        <w:pStyle w:val="TextBody"/>
        <w:bidi w:val="0"/>
        <w:spacing w:lineRule="auto" w:line="204"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  </w:t>
      </w:r>
    </w:p>
    <w:p>
      <w:pPr>
        <w:pStyle w:val="TextBody"/>
        <w:bidi w:val="0"/>
        <w:spacing w:lineRule="auto" w:line="288" w:before="100" w:after="283"/>
        <w:jc w:val="left"/>
        <w:rPr>
          <w:rFonts w:ascii="Times New Roman;serif" w:hAnsi="Times New Roman;serif"/>
          <w:b w:val="false"/>
          <w:color w:val="000000"/>
          <w:sz w:val="16"/>
        </w:rPr>
      </w:pPr>
      <w:r>
        <w:rPr>
          <w:rFonts w:ascii="Times New Roman;serif" w:hAnsi="Times New Roman;serif"/>
          <w:b w:val="false"/>
          <w:color w:val="000000"/>
          <w:sz w:val="16"/>
        </w:rPr>
        <w:t>(Mark One)</w:t>
      </w:r>
    </w:p>
    <w:tbl>
      <w:tblPr>
        <w:tblW w:w="10152" w:type="dxa"/>
        <w:jc w:val="left"/>
        <w:tblInd w:w="0" w:type="dxa"/>
        <w:tblLayout w:type="fixed"/>
        <w:tblCellMar>
          <w:top w:w="28" w:type="dxa"/>
          <w:left w:w="28" w:type="dxa"/>
          <w:bottom w:w="28" w:type="dxa"/>
          <w:right w:w="28" w:type="dxa"/>
        </w:tblCellMar>
      </w:tblPr>
      <w:tblGrid>
        <w:gridCol w:w="124"/>
        <w:gridCol w:w="109"/>
        <w:gridCol w:w="109"/>
        <w:gridCol w:w="2870"/>
        <w:gridCol w:w="2870"/>
        <w:gridCol w:w="40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OR</w:t>
      </w:r>
    </w:p>
    <w:tbl>
      <w:tblPr>
        <w:tblW w:w="10136" w:type="dxa"/>
        <w:jc w:val="center"/>
        <w:tblInd w:w="0" w:type="dxa"/>
        <w:tblLayout w:type="fixed"/>
        <w:tblCellMar>
          <w:top w:w="28" w:type="dxa"/>
          <w:left w:w="28" w:type="dxa"/>
          <w:bottom w:w="28" w:type="dxa"/>
          <w:right w:w="28" w:type="dxa"/>
        </w:tblCellMar>
      </w:tblPr>
      <w:tblGrid>
        <w:gridCol w:w="124"/>
        <w:gridCol w:w="109"/>
        <w:gridCol w:w="109"/>
        <w:gridCol w:w="2868"/>
        <w:gridCol w:w="2868"/>
        <w:gridCol w:w="40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left"/>
        <w:rPr/>
      </w:pPr>
      <w:r>
        <w:rPr>
          <w:rFonts w:ascii="Times New Roman;serif" w:hAnsi="Times New Roman;serif"/>
          <w:b w:val="false"/>
          <w:color w:val="000000"/>
          <w:sz w:val="20"/>
        </w:rPr>
        <w:t xml:space="preserve">For the Transition Period From </w:t>
      </w:r>
      <w:r>
        <w:rPr>
          <w:color w:val="000000"/>
          <w:u w:val="single"/>
        </w:rPr>
        <w:t>                    </w:t>
      </w:r>
      <w:r>
        <w:rPr>
          <w:color w:val="000000"/>
        </w:rPr>
        <w:t xml:space="preserve"> </w:t>
      </w:r>
      <w:r>
        <w:rPr>
          <w:rFonts w:ascii="Times New Roman;serif" w:hAnsi="Times New Roman;serif"/>
          <w:b w:val="false"/>
          <w:color w:val="000000"/>
          <w:sz w:val="20"/>
        </w:rPr>
        <w:t xml:space="preserve">to </w:t>
      </w:r>
      <w:r>
        <w:rPr>
          <w:color w:val="000000"/>
          <w:u w:val="single"/>
        </w:rPr>
        <w:t>                    </w:t>
      </w:r>
    </w:p>
    <w:p>
      <w:pPr>
        <w:pStyle w:val="TextBody"/>
        <w:bidi w:val="0"/>
        <w:spacing w:lineRule="auto" w:line="288" w:before="10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 001-34626</w:t>
      </w:r>
    </w:p>
    <w:p>
      <w:pPr>
        <w:pStyle w:val="TextBody"/>
        <w:bidi w:val="0"/>
        <w:spacing w:lineRule="auto" w:line="288" w:before="100" w:after="283"/>
        <w:jc w:val="center"/>
        <w:rPr>
          <w:rFonts w:ascii="Times New Roman;serif" w:hAnsi="Times New Roman;serif"/>
          <w:b/>
          <w:color w:val="000000"/>
          <w:sz w:val="36"/>
        </w:rPr>
      </w:pPr>
      <w:r>
        <w:rPr>
          <w:rFonts w:ascii="Times New Roman;serif" w:hAnsi="Times New Roman;serif"/>
          <w:b/>
          <w:color w:val="000000"/>
          <w:sz w:val="36"/>
        </w:rPr>
        <w:t xml:space="preserve">Piedmont Realty Trust, Inc.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80" w:after="283"/>
        <w:jc w:val="center"/>
        <w:rPr>
          <w:color w:val="000000"/>
        </w:rPr>
      </w:pPr>
      <w:r>
        <w:rPr>
          <w:color w:val="000000"/>
        </w:rPr>
        <w:t> </w:t>
      </w:r>
      <w:r>
        <w:rPr>
          <w:rFonts w:ascii="Times New Roman;serif" w:hAnsi="Times New Roman;serif"/>
          <w:b w:val="false"/>
          <w:color w:val="000000"/>
          <w:sz w:val="20"/>
        </w:rPr>
        <w:t>____________________________________________________ </w:t>
      </w:r>
    </w:p>
    <w:tbl>
      <w:tblPr>
        <w:tblW w:w="7962" w:type="dxa"/>
        <w:jc w:val="center"/>
        <w:tblInd w:w="0" w:type="dxa"/>
        <w:tblLayout w:type="fixed"/>
        <w:tblCellMar>
          <w:top w:w="28" w:type="dxa"/>
          <w:left w:w="28" w:type="dxa"/>
          <w:bottom w:w="28" w:type="dxa"/>
          <w:right w:w="28" w:type="dxa"/>
        </w:tblCellMar>
      </w:tblPr>
      <w:tblGrid>
        <w:gridCol w:w="1648"/>
        <w:gridCol w:w="1450"/>
        <w:gridCol w:w="1462"/>
        <w:gridCol w:w="109"/>
        <w:gridCol w:w="109"/>
        <w:gridCol w:w="109"/>
        <w:gridCol w:w="898"/>
        <w:gridCol w:w="898"/>
        <w:gridCol w:w="1279"/>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58-2328421</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Number)</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5565 Glenridge Connector Ste. 450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Atlanta, Georgia 30342</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(770) 418-8800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761" w:type="dxa"/>
        <w:jc w:val="center"/>
        <w:tblInd w:w="0" w:type="dxa"/>
        <w:tblLayout w:type="fixed"/>
        <w:tblCellMar>
          <w:top w:w="28" w:type="dxa"/>
          <w:left w:w="28" w:type="dxa"/>
          <w:bottom w:w="28" w:type="dxa"/>
          <w:right w:w="28" w:type="dxa"/>
        </w:tblCellMar>
      </w:tblPr>
      <w:tblGrid>
        <w:gridCol w:w="1022"/>
        <w:gridCol w:w="892"/>
        <w:gridCol w:w="905"/>
        <w:gridCol w:w="109"/>
        <w:gridCol w:w="109"/>
        <w:gridCol w:w="109"/>
        <w:gridCol w:w="474"/>
        <w:gridCol w:w="474"/>
        <w:gridCol w:w="476"/>
        <w:gridCol w:w="109"/>
        <w:gridCol w:w="109"/>
        <w:gridCol w:w="109"/>
        <w:gridCol w:w="839"/>
        <w:gridCol w:w="839"/>
        <w:gridCol w:w="1186"/>
      </w:tblGrid>
      <w:tr>
        <w:trPr/>
        <w:tc>
          <w:tcPr>
            <w:tcW w:w="1022"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8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Name of exchange on which registered</w:t>
            </w:r>
          </w:p>
        </w:tc>
      </w:tr>
      <w:tr>
        <w:trPr/>
        <w:tc>
          <w:tcPr>
            <w:tcW w:w="28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PDM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center"/>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 xml:space="preserve">x </w:t>
      </w:r>
      <w:r>
        <w:rPr>
          <w:rFonts w:ascii="Times New Roman;serif" w:hAnsi="Times New Roman;serif"/>
          <w:b w:val="false"/>
          <w:color w:val="000000"/>
          <w:sz w:val="20"/>
        </w:rPr>
        <w:t xml:space="preserve">No </w:t>
      </w:r>
      <w:r>
        <w:rPr>
          <w:color w:val="000000"/>
        </w:rPr>
        <w:t>☐</w:t>
      </w:r>
    </w:p>
    <w:p>
      <w:pPr>
        <w:pStyle w:val="TextBody"/>
        <w:bidi w:val="0"/>
        <w:spacing w:lineRule="auto" w:line="288" w:before="100" w:after="283"/>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 xml:space="preserve">x </w:t>
      </w:r>
      <w:r>
        <w:rPr>
          <w:rFonts w:ascii="Times New Roman;serif" w:hAnsi="Times New Roman;serif"/>
          <w:b w:val="false"/>
          <w:color w:val="000000"/>
          <w:sz w:val="20"/>
        </w:rPr>
        <w:t>No  </w:t>
      </w:r>
      <w:r>
        <w:rPr>
          <w:rFonts w:ascii="Wingdings;sans-serif" w:hAnsi="Wingdings;sans-serif"/>
          <w:b w:val="false"/>
          <w:color w:val="000000"/>
          <w:sz w:val="20"/>
        </w:rPr>
        <w:t>o</w:t>
      </w:r>
    </w:p>
    <w:p>
      <w:pPr>
        <w:pStyle w:val="TextBody"/>
        <w:bidi w:val="0"/>
        <w:spacing w:lineRule="auto" w:line="288" w:before="100" w:after="283"/>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909" w:type="dxa"/>
        <w:jc w:val="left"/>
        <w:tblInd w:w="0" w:type="dxa"/>
        <w:tblLayout w:type="fixed"/>
        <w:tblCellMar>
          <w:top w:w="28" w:type="dxa"/>
          <w:left w:w="28" w:type="dxa"/>
          <w:bottom w:w="28" w:type="dxa"/>
          <w:right w:w="28" w:type="dxa"/>
        </w:tblCellMar>
      </w:tblPr>
      <w:tblGrid>
        <w:gridCol w:w="124"/>
        <w:gridCol w:w="109"/>
        <w:gridCol w:w="109"/>
        <w:gridCol w:w="634"/>
        <w:gridCol w:w="634"/>
        <w:gridCol w:w="636"/>
        <w:gridCol w:w="109"/>
        <w:gridCol w:w="109"/>
        <w:gridCol w:w="109"/>
        <w:gridCol w:w="109"/>
        <w:gridCol w:w="109"/>
        <w:gridCol w:w="109"/>
        <w:gridCol w:w="769"/>
        <w:gridCol w:w="769"/>
        <w:gridCol w:w="77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Number of shares outstanding of the Registrant’s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common stock, as of April 29,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125,019,003 shares</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20"/>
        <w:gridCol w:w="282"/>
        <w:gridCol w:w="284"/>
        <w:gridCol w:w="332"/>
        <w:gridCol w:w="317"/>
        <w:gridCol w:w="297"/>
        <w:gridCol w:w="2542"/>
        <w:gridCol w:w="2498"/>
        <w:gridCol w:w="2520"/>
        <w:gridCol w:w="237"/>
        <w:gridCol w:w="237"/>
        <w:gridCol w:w="339"/>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25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9392"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 No.</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w:t>
            </w:r>
          </w:p>
        </w:tc>
        <w:tc>
          <w:tcPr>
            <w:tcW w:w="85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Financial Information</w:t>
            </w:r>
          </w:p>
        </w:tc>
        <w:tc>
          <w:tcPr>
            <w:tcW w:w="8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6">
              <w:r>
                <w:rPr>
                  <w:rStyle w:val="InternetLink"/>
                  <w:rFonts w:ascii="Times New Roman;serif" w:hAnsi="Times New Roman;serif"/>
                  <w:b w:val="false"/>
                  <w:color w:val="0000FF"/>
                  <w:sz w:val="20"/>
                  <w:u w:val="single"/>
                </w:rPr>
                <w:t>Consolidated Financial Statements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6">
              <w:r>
                <w:rPr>
                  <w:rStyle w:val="InternetLink"/>
                  <w:rFonts w:ascii="Times New Roman;serif" w:hAnsi="Times New Roman;serif"/>
                  <w:b w:val="false"/>
                  <w:color w:val="0000FF"/>
                  <w:sz w:val="20"/>
                  <w:u w:val="single"/>
                </w:rPr>
                <w:t>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9">
              <w:r>
                <w:rPr>
                  <w:rStyle w:val="InternetLink"/>
                  <w:rFonts w:ascii="Times New Roman;serif" w:hAnsi="Times New Roman;serif"/>
                  <w:b w:val="false"/>
                  <w:color w:val="0000FF"/>
                  <w:sz w:val="20"/>
                  <w:u w:val="single"/>
                </w:rPr>
                <w:t>Consolidated Balance Sheets—March 31, 2026 (Unaudited) and December 31, 2025</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9">
              <w:r>
                <w:rPr>
                  <w:rStyle w:val="InternetLink"/>
                  <w:rFonts w:ascii="Times New Roman;serif" w:hAnsi="Times New Roman;serif"/>
                  <w:b w:val="false"/>
                  <w:color w:val="0000FF"/>
                  <w:sz w:val="20"/>
                  <w:u w:val="single"/>
                </w:rPr>
                <w:t>6</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22">
              <w:r>
                <w:rPr>
                  <w:rStyle w:val="InternetLink"/>
                  <w:rFonts w:ascii="Times New Roman;serif" w:hAnsi="Times New Roman;serif"/>
                  <w:b w:val="false"/>
                  <w:color w:val="0000FF"/>
                  <w:sz w:val="20"/>
                  <w:u w:val="single"/>
                </w:rPr>
                <w:t>Consolidated Statements of Operations (Unaudited) for the Three Months Ended March 31, 2026 and 2025</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22">
              <w:r>
                <w:rPr>
                  <w:rStyle w:val="InternetLink"/>
                  <w:rFonts w:ascii="Times New Roman;serif" w:hAnsi="Times New Roman;serif"/>
                  <w:b w:val="false"/>
                  <w:color w:val="0000FF"/>
                  <w:sz w:val="20"/>
                  <w:u w:val="single"/>
                </w:rPr>
                <w:t>7</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25">
              <w:r>
                <w:rPr>
                  <w:rStyle w:val="InternetLink"/>
                  <w:rFonts w:ascii="Times New Roman;serif" w:hAnsi="Times New Roman;serif"/>
                  <w:b w:val="false"/>
                  <w:color w:val="0000FF"/>
                  <w:sz w:val="20"/>
                  <w:u w:val="single"/>
                </w:rPr>
                <w:t>Consolidated Statements of Comprehensive Loss (Unaudited) for the Three Months Ended March 31, 2026 and 2025</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25">
              <w:r>
                <w:rPr>
                  <w:rStyle w:val="InternetLink"/>
                  <w:rFonts w:ascii="Times New Roman;serif" w:hAnsi="Times New Roman;serif"/>
                  <w:b w:val="false"/>
                  <w:color w:val="0000FF"/>
                  <w:sz w:val="20"/>
                  <w:u w:val="single"/>
                </w:rPr>
                <w:t>8</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31">
              <w:r>
                <w:rPr>
                  <w:rStyle w:val="InternetLink"/>
                  <w:rFonts w:ascii="Times New Roman;serif" w:hAnsi="Times New Roman;serif"/>
                  <w:b w:val="false"/>
                  <w:color w:val="0000FF"/>
                  <w:sz w:val="20"/>
                  <w:u w:val="single"/>
                </w:rPr>
                <w:t>Consolidated Statements of Stockholders' Equity (Unaudited) for the Three Months Ended March 31, 2026 and 2025</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31">
              <w:r>
                <w:rPr>
                  <w:rStyle w:val="InternetLink"/>
                  <w:rFonts w:ascii="Times New Roman;serif" w:hAnsi="Times New Roman;serif"/>
                  <w:b w:val="false"/>
                  <w:color w:val="0000FF"/>
                  <w:sz w:val="20"/>
                  <w:u w:val="single"/>
                </w:rPr>
                <w:t>9</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34">
              <w:r>
                <w:rPr>
                  <w:rStyle w:val="InternetLink"/>
                  <w:rFonts w:ascii="Times New Roman;serif" w:hAnsi="Times New Roman;serif"/>
                  <w:b w:val="false"/>
                  <w:color w:val="0000FF"/>
                  <w:sz w:val="20"/>
                  <w:u w:val="single"/>
                </w:rPr>
                <w:t>Consolidated Statements of Cash Flows (Unaudited) for the Three Months Ended March 31, 2026 and 2025</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34">
              <w:r>
                <w:rPr>
                  <w:rStyle w:val="InternetLink"/>
                  <w:rFonts w:ascii="Times New Roman;serif" w:hAnsi="Times New Roman;serif"/>
                  <w:b w:val="false"/>
                  <w:color w:val="0000FF"/>
                  <w:sz w:val="20"/>
                  <w:u w:val="single"/>
                </w:rPr>
                <w:t>10</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37">
              <w:r>
                <w:rPr>
                  <w:rStyle w:val="InternetLink"/>
                  <w:rFonts w:ascii="Times New Roman;serif" w:hAnsi="Times New Roman;serif"/>
                  <w:b w:val="false"/>
                  <w:color w:val="0000FF"/>
                  <w:sz w:val="20"/>
                  <w:u w:val="single"/>
                </w:rPr>
                <w:t>Condensed Notes to Consolidated Financial Statements (Unaudited)</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37">
              <w:r>
                <w:rPr>
                  <w:rStyle w:val="InternetLink"/>
                  <w:rFonts w:ascii="Times New Roman;serif" w:hAnsi="Times New Roman;serif"/>
                  <w:b w:val="false"/>
                  <w:color w:val="0000FF"/>
                  <w:sz w:val="20"/>
                  <w:u w:val="single"/>
                </w:rPr>
                <w:t>11</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0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09">
              <w:r>
                <w:rPr>
                  <w:rStyle w:val="InternetLink"/>
                  <w:rFonts w:ascii="Times New Roman;serif" w:hAnsi="Times New Roman;serif"/>
                  <w:b w:val="false"/>
                  <w:color w:val="0000FF"/>
                  <w:sz w:val="20"/>
                  <w:u w:val="single"/>
                </w:rPr>
                <w:t>22</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54">
              <w:r>
                <w:rPr>
                  <w:rStyle w:val="InternetLink"/>
                  <w:rFonts w:ascii="Times New Roman;serif" w:hAnsi="Times New Roman;serif"/>
                  <w:b w:val="false"/>
                  <w:color w:val="0000FF"/>
                  <w:sz w:val="20"/>
                  <w:u w:val="single"/>
                </w:rPr>
                <w:t>Quantitative and Qualitative Disclosures About Market Risk</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54">
              <w:r>
                <w:rPr>
                  <w:rStyle w:val="InternetLink"/>
                  <w:rFonts w:ascii="Times New Roman;serif" w:hAnsi="Times New Roman;serif"/>
                  <w:b w:val="false"/>
                  <w:color w:val="0000FF"/>
                  <w:sz w:val="20"/>
                  <w:u w:val="singl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57">
              <w:r>
                <w:rPr>
                  <w:rStyle w:val="InternetLink"/>
                  <w:rFonts w:ascii="Times New Roman;serif" w:hAnsi="Times New Roman;serif"/>
                  <w:b w:val="false"/>
                  <w:color w:val="0000FF"/>
                  <w:sz w:val="20"/>
                  <w:u w:val="single"/>
                </w:rPr>
                <w:t>Controls and Procedures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57">
              <w:r>
                <w:rPr>
                  <w:rStyle w:val="InternetLink"/>
                  <w:rFonts w:ascii="Times New Roman;serif" w:hAnsi="Times New Roman;serif"/>
                  <w:b w:val="false"/>
                  <w:color w:val="0000FF"/>
                  <w:sz w:val="20"/>
                  <w:u w:val="single"/>
                </w:rPr>
                <w:t>33</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w:t>
            </w:r>
          </w:p>
        </w:tc>
        <w:tc>
          <w:tcPr>
            <w:tcW w:w="85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Information</w:t>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63">
              <w:r>
                <w:rPr>
                  <w:rStyle w:val="InternetLink"/>
                  <w:rFonts w:ascii="Times New Roman;serif" w:hAnsi="Times New Roman;serif"/>
                  <w:b w:val="false"/>
                  <w:color w:val="0000FF"/>
                  <w:sz w:val="20"/>
                  <w:u w:val="single"/>
                </w:rPr>
                <w:t>Legal Proceedings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63">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66">
              <w:r>
                <w:rPr>
                  <w:rStyle w:val="InternetLink"/>
                  <w:rFonts w:ascii="Times New Roman;serif" w:hAnsi="Times New Roman;serif"/>
                  <w:b w:val="false"/>
                  <w:color w:val="0000FF"/>
                  <w:sz w:val="20"/>
                  <w:u w:val="single"/>
                </w:rPr>
                <w:t>Risk Factors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66">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69">
              <w:r>
                <w:rPr>
                  <w:rStyle w:val="InternetLink"/>
                  <w:rFonts w:ascii="Times New Roman;serif" w:hAnsi="Times New Roman;serif"/>
                  <w:b w:val="false"/>
                  <w:color w:val="0000FF"/>
                  <w:sz w:val="20"/>
                  <w:u w:val="single"/>
                </w:rPr>
                <w:t>Unregistered Sales of Equity Securities and Use of Proceeds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69">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72">
              <w:r>
                <w:rPr>
                  <w:rStyle w:val="InternetLink"/>
                  <w:rFonts w:ascii="Times New Roman;serif" w:hAnsi="Times New Roman;serif"/>
                  <w:b w:val="false"/>
                  <w:color w:val="0000FF"/>
                  <w:sz w:val="20"/>
                  <w:u w:val="single"/>
                </w:rPr>
                <w:t>Defaults Upon Senior Securities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72">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75">
              <w:r>
                <w:rPr>
                  <w:rStyle w:val="InternetLink"/>
                  <w:rFonts w:ascii="Times New Roman;serif" w:hAnsi="Times New Roman;serif"/>
                  <w:b w:val="false"/>
                  <w:color w:val="0000FF"/>
                  <w:sz w:val="20"/>
                  <w:u w:val="single"/>
                </w:rPr>
                <w:t>Mine Safety Disclosures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75">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78">
              <w:r>
                <w:rPr>
                  <w:rStyle w:val="InternetLink"/>
                  <w:rFonts w:ascii="Times New Roman;serif" w:hAnsi="Times New Roman;serif"/>
                  <w:b w:val="false"/>
                  <w:color w:val="0000FF"/>
                  <w:sz w:val="20"/>
                  <w:u w:val="single"/>
                </w:rPr>
                <w:t>Other Information</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78">
              <w:r>
                <w:rPr>
                  <w:rStyle w:val="InternetLink"/>
                  <w:rFonts w:ascii="Times New Roman;serif" w:hAnsi="Times New Roman;serif"/>
                  <w:b w:val="false"/>
                  <w:color w:val="0000FF"/>
                  <w:sz w:val="20"/>
                  <w:u w:val="single"/>
                </w:rPr>
                <w:t>34</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81">
              <w:r>
                <w:rPr>
                  <w:rStyle w:val="InternetLink"/>
                  <w:rFonts w:ascii="Times New Roman;serif" w:hAnsi="Times New Roman;serif"/>
                  <w:b w:val="false"/>
                  <w:color w:val="0000FF"/>
                  <w:sz w:val="20"/>
                  <w:u w:val="single"/>
                </w:rPr>
                <w:t>Exhibits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81">
              <w:r>
                <w:rPr>
                  <w:rStyle w:val="InternetLink"/>
                  <w:rFonts w:ascii="Times New Roman;serif" w:hAnsi="Times New Roman;serif"/>
                  <w:b w:val="false"/>
                  <w:color w:val="0000FF"/>
                  <w:sz w:val="20"/>
                  <w:u w:val="single"/>
                </w:rPr>
                <w:t>35</w:t>
              </w:r>
            </w:hyperlink>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18ebe5609f4435382271666666a7db1_184">
              <w:r>
                <w:rPr>
                  <w:rStyle w:val="InternetLink"/>
                  <w:rFonts w:ascii="Times New Roman;serif" w:hAnsi="Times New Roman;serif"/>
                  <w:b w:val="false"/>
                  <w:color w:val="0000FF"/>
                  <w:sz w:val="20"/>
                  <w:u w:val="single"/>
                </w:rPr>
                <w:t>Signatures</w:t>
              </w:r>
            </w:hyperlink>
          </w:p>
        </w:tc>
        <w:tc>
          <w:tcPr>
            <w:tcW w:w="8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18ebe5609f4435382271666666a7db1_184">
              <w:r>
                <w:rPr>
                  <w:rStyle w:val="InternetLink"/>
                  <w:rFonts w:ascii="Times New Roman;serif" w:hAnsi="Times New Roman;serif"/>
                  <w:b w:val="false"/>
                  <w:color w:val="0000FF"/>
                  <w:sz w:val="20"/>
                  <w:u w:val="single"/>
                </w:rPr>
                <w:t>36</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statements contained in this Form 10-Q may constitute forward-looking statements within the meaning of the federal securities laws. In addition, Piedmont Realty Trust, Inc. ("Piedmont," "we," "our," or "us"), or our executive officers on our behalf, may from time to time make forward-looking statements in reports and other documents we file with the Securities and Exchange Commission or in connection with other written or oral statements made to the press, potential investors, or others. Statements regarding future events and developments and our future performance, as well as management’s expectations, beliefs, plans, estimates, or projections relating to the future, are forward-looking statements. Forward-looking statements include statements preceded by, followed by, or that include the words “may,” “will,” “expect,” “intend,” “anticipate,” “estimate,” “believe,” “continue,” or other similar words. Examples of such statements in this report include descriptions of our real estate, financing, and operating objectives; discussions regarding future dividends; and discussions regarding potential acquisition and disposition activity and the potential impact of economic conditions on our real estate and lease portfolio, among others.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These statements are based on beliefs and assumptions of our management, which in turn are based on information available at the time the statements are made. Important assumptions relating to the forward-looking statements include, among others, assumptions regarding the demand for office space in the markets in which we operate, competitive conditions, and general economic conditions. These assumptions could prove inaccurate. The forward-looking statements also involve certain known and unknown risks and uncertainties, which could cause actual results to differ materially from those contained in any forward-looking statement. Many of these factors are beyond our ability to control or predict. Such factors include, but are not limited to, the following: </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Economic, regulatory, socio-economic, technological (e.g. artificial intelligence and machine learning, virtual meeting platforms, etc.), and other changes that impact the real estate market generally, the office sector or the patterns of use of commercial office space in general, or the markets where we primarily operate or have high concentrations of revenue;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impact of competition on our efforts to renew existing leases or re-let space on terms similar to existing leases;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Lease terminations, lease defaults, lease contractions, or changes in the financial condition of our tenants, particularly by one of our large tenants;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Impairment charges on our long-lived assets or goodwill resulting therefrom;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success of our real estate strategies and investment objectives, including our ability to implement successful redevelopment and development strategies or identify and consummate suitable acquisitions and divestitures;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illiquidity of real estate investments, including economic changes, such as fluctuating interest rates, costs of construction, improvements and redevelopments, and available financing, which could impact the number of buyers/sellers of our target properties, and regulatory restrictions to which real estate investment trusts ("REITs") are subject and the resulting impediment on our ability to quickly respond to adverse changes in the performance of our properties;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risks and uncertainties associated with our acquisition and disposition of properties, many of which risks and uncertainties may not be known at the time of acquisition or disposition;</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Development and construction delays, including the potential of supply chain disruptions, and resultant increased costs and risks;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Future acts of terrorism, civil unrest, or armed hostilities in any of the major metropolitan areas in which we own properties;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related to the occurrence of cybersecurity incidents, including cybersecurity incidents against us or any of our properties, vendors, or tenants, or a deficiency in our identification, assessment or management of cybersecurity threats impacting our operations and the public's reaction to reported cybersecurity incidents, including the reputational impact on our business and value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Costs of complying with governmental laws, regulations and policies, including environmental standards imposed on office building owners;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Uninsured losses or losses in excess of our insurance coverage, and our inability to obtain adequate insurance coverage at a reasonable cost;</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Additional risks and costs associated with directly managing properties occupied by government tenants, such as potential changes in the political environment, a reduction in federal or state funding of our governmental tenants, government layoffs or an increased risk of default by government tenants during periods in which state or federal governments are shut down or on furlough;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Significant price and volume fluctuations in the public markets, including on the exchange on which we listed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Risks associated with incurring mortgage and other indebtedness, including changing capital reserve requirements on our lenders and rising interest rates for new debt financings;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 downgrade in our credit ratings, the credit ratings of Piedmont Operating Partnership, L.P. ("Piedmont OP") or the credit ratings of our or Piedmont OP's unsecured debt securities, which could, among other effects, trigger an increase in the stated rate of one or more of our unsecured debt instruments;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future offerings of debt or equity securities on the value of our common stock;</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risks and costs associated with adverse U.S. global and economic conditions, inflation and potential increases in the rate of inflation, including the impact of a possible recession, uncertainty and volatility in financial markets, and any changes in governmental rules, regulations, and fiscal policies;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Uncertainties associated with environmental and regulatory matters;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the financial condition of our tenants directly or indirectly resulting from geopolitical developments that could negatively affect important supply chains and international trade, the termination or threatened termination of existing international trade agreements, or the implementation of tariffs or retaliatory tariffs on imported or exported goods;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effect of any litigation to which we are, or may become, subject;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Additional risks and costs associated with owning properties occupied by tenants in particular industries, such as oil and gas, hospitality, travel, co-working, etc., including risks of default during start-up and during economic downturns;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Changes in tax laws impacting REITs and real estate in general, as well as our ability to continue to qualify as a REIT under the Internal Revenue Code of 1986, as amended (the “Code”), or other tax law changes which may adversely affect our stockholders;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The future effectiveness of our internal controls and procedures;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Other factors, including the risk factors discussed under Item 1A. of our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believes these forward-looking statements are reasonable; however, undue reliance should not be placed on any forward-looking statements, which are based on current expectations. Further, forward-looking statements speak only as of the date they are made, and management undertakes no obligation to update publicly any of them in light of new information or future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Information Regarding Disclosures Presented</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Annualized Lease Revenue ("ALR") is calculated by multiplying (i) current rental payments (defined as base rent plus operating expense reimbursements, if payable by the tenant on a monthly basis under the terms of a lease that has been executed, but excluding (a) rental abatements and (b) rental payments related to executed but not commenced leases for space that was covered by an existing lease), by (ii) 12. In instances in which contractual rents or operating expense reimbursements are collected on an annual, semi-annual, or quarterly basis, such amounts are multiplied by a factor of 1, 2, or 4, respectively, to calculate the annualized figure. For leases that have been executed but not commenced relating to unleased space, ALR is calculated by multiplying (i) the monthly base rental payment (excluding abatements) plus any operating expense reimbursements for the initial month of the lease term, by (ii) 12. Unless stated otherwise, this measure excludes revenues associated with development properties and properties taken out of service for redevelopment,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CONSOLIDATED FINANCIAL STATEMENTS.</w:t>
      </w:r>
    </w:p>
    <w:p>
      <w:pPr>
        <w:pStyle w:val="TextBody"/>
        <w:bidi w:val="0"/>
        <w:spacing w:before="0" w:after="0"/>
        <w:ind w:left="0" w:right="0" w:hanging="720"/>
        <w:jc w:val="left"/>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information presented in the accompanying consolidated balance sheets and related consolidated statements of operations, comprehensive loss, stockholders’ equity, and cash flows reflects all adjustments that are, in management’s opinion, necessary for a fair and consistent presentation of financial position, results of operations, and cash flows in accordance with generally accepted accounting principles ("GAAP").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accompanying financial statements should be read in conjunction with the notes to Piedmont’s financial statements and Management’s Discussion and Analysis of Financial Condition and Results of Operations included in this report on Form 10-Q and with Piedmont’s Annual Report on Form 10-K for the year ended December 31, 2025. Piedmont’s results of operations for the three months ended March 31, 2026 are not necessarily indicative of the operating results expected for the full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amounts)</w:t>
      </w:r>
    </w:p>
    <w:tbl>
      <w:tblPr>
        <w:tblW w:w="10205" w:type="dxa"/>
        <w:jc w:val="center"/>
        <w:tblInd w:w="0" w:type="dxa"/>
        <w:tblLayout w:type="fixed"/>
        <w:tblCellMar>
          <w:top w:w="28" w:type="dxa"/>
          <w:left w:w="28" w:type="dxa"/>
          <w:bottom w:w="28" w:type="dxa"/>
          <w:right w:w="28" w:type="dxa"/>
        </w:tblCellMar>
      </w:tblPr>
      <w:tblGrid>
        <w:gridCol w:w="2882"/>
        <w:gridCol w:w="2166"/>
        <w:gridCol w:w="2176"/>
        <w:gridCol w:w="211"/>
        <w:gridCol w:w="991"/>
        <w:gridCol w:w="109"/>
        <w:gridCol w:w="109"/>
        <w:gridCol w:w="109"/>
        <w:gridCol w:w="109"/>
        <w:gridCol w:w="211"/>
        <w:gridCol w:w="976"/>
        <w:gridCol w:w="156"/>
      </w:tblGrid>
      <w:tr>
        <w:trPr/>
        <w:tc>
          <w:tcPr>
            <w:tcW w:w="2882" w:type="dxa"/>
            <w:tcBorders/>
            <w:vAlign w:val="center"/>
          </w:tcPr>
          <w:p>
            <w:pPr>
              <w:pStyle w:val="TableContents"/>
              <w:bidi w:val="0"/>
              <w:spacing w:before="0" w:after="283"/>
              <w:jc w:val="left"/>
              <w:rPr>
                <w:sz w:val="4"/>
                <w:szCs w:val="4"/>
              </w:rPr>
            </w:pPr>
            <w:r>
              <w:rPr>
                <w:sz w:val="4"/>
                <w:szCs w:val="4"/>
              </w:rPr>
            </w:r>
          </w:p>
        </w:tc>
        <w:tc>
          <w:tcPr>
            <w:tcW w:w="2166" w:type="dxa"/>
            <w:tcBorders/>
            <w:vAlign w:val="center"/>
          </w:tcPr>
          <w:p>
            <w:pPr>
              <w:pStyle w:val="TableContents"/>
              <w:bidi w:val="0"/>
              <w:spacing w:before="0" w:after="283"/>
              <w:jc w:val="left"/>
              <w:rPr>
                <w:sz w:val="4"/>
                <w:szCs w:val="4"/>
              </w:rPr>
            </w:pPr>
            <w:r>
              <w:rPr>
                <w:sz w:val="4"/>
                <w:szCs w:val="4"/>
              </w:rPr>
            </w:r>
          </w:p>
        </w:tc>
        <w:tc>
          <w:tcPr>
            <w:tcW w:w="2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assets, at cost:</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542,474</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542,474 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Buildings and improvements, less accumulated depreciation of $1,321,935 and $1,278,600 as of March 31,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2,786,966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2,787,669 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Intangible lease assets, less accumulated amortization of $77,271 and $73,824 as of March 31, 2026 and December 31, 2025, respectively</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40,555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44,371 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48,855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assets held for sale, net</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2,837</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real estate assets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3,421,687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3,421,709 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Tenant receivables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Straight-line rent receivables</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216,416</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214,285 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escrows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20,928</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20,857 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lease costs, less accumulated amortization of $222,242 and $209,155 as of March 31, 2026 and December 31, 2025, respectively</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308,167</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311,066 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4,033,931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4,031,354 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311"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Unsecured debt, net of unamortized discount and debt issuance costs of $21,806 and $23,368 as of March 31, 2026 and December 31, 2025, respectively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2,064,452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Secured debt</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187,899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188,822 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accrued expenses and accrued capital expenditures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158,041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117,733</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112,124 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Intangible lease liabilities, less accumulated amortization of $36,885 and $35,036 as of March 31, 2026 and December 31, 2025,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22,880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2,551,005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2,534,651 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Commitments and Contingencies (</w:t>
            </w:r>
            <w:hyperlink w:anchor="i818ebe5609f4435382271666666a7db1_67">
              <w:r>
                <w:rPr>
                  <w:rStyle w:val="InternetLink"/>
                  <w:rFonts w:ascii="Times New Roman;serif" w:hAnsi="Times New Roman;serif"/>
                  <w:b/>
                  <w:color w:val="0000FF"/>
                  <w:sz w:val="20"/>
                  <w:u w:val="single"/>
                </w:rPr>
                <w:t>Note 7</w:t>
              </w:r>
            </w:hyperlink>
            <w:r>
              <w:rPr>
                <w:rFonts w:ascii="Times New Roman;serif" w:hAnsi="Times New Roman;serif"/>
                <w:b/>
                <w:color w:val="000000"/>
                <w:sz w:val="20"/>
              </w:rPr>
              <w:t>)</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Shares-in-trust, 150,000,000 shares authorized; none outstanding as of March 31, 2026 or December 31, 2025</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no par value, 100,000,000 shares authorized; none outstanding as of March 31, 2026 or December 31, 2025</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$0.01 par value, 750,000,000 shares authorized; 125,019,003 and 124,519,278 shares issued and outstanding as of March 31, 2026 and December 31, 2025, respectively</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1,245 </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3,728,827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3,730,273 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Cumulative distributions in excess of earnings</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(2,240,270)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(2,227,350)</w:t>
            </w:r>
          </w:p>
        </w:tc>
        <w:tc>
          <w:tcPr>
            <w:tcW w:w="15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Piedmont stockholders’ equity</w:t>
            </w:r>
          </w:p>
        </w:tc>
        <w:tc>
          <w:tcPr>
            <w:tcW w:w="1202"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1,481,427</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1,495,201 </w:t>
            </w:r>
          </w:p>
        </w:tc>
        <w:tc>
          <w:tcPr>
            <w:tcW w:w="15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2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02"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1,482,926</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1,496,703 </w:t>
            </w:r>
          </w:p>
        </w:tc>
        <w:tc>
          <w:tcPr>
            <w:tcW w:w="15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4,033,931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4,031,354 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OPERATIONS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for share and per share amounts)</w:t>
      </w:r>
    </w:p>
    <w:p>
      <w:pPr>
        <w:pStyle w:val="TextBody"/>
        <w:bidi w:val="0"/>
        <w:spacing w:lineRule="auto" w:line="288" w:before="0" w:after="0"/>
        <w:jc w:val="left"/>
        <w:rPr>
          <w:color w:val="000000"/>
        </w:rPr>
      </w:pPr>
      <w:r>
        <w:rPr>
          <w:color w:val="000000"/>
        </w:rPr>
        <w:t> </w:t>
      </w:r>
    </w:p>
    <w:tbl>
      <w:tblPr>
        <w:tblW w:w="9186" w:type="dxa"/>
        <w:jc w:val="left"/>
        <w:tblInd w:w="0" w:type="dxa"/>
        <w:tblLayout w:type="fixed"/>
        <w:tblCellMar>
          <w:top w:w="28" w:type="dxa"/>
          <w:left w:w="28" w:type="dxa"/>
          <w:bottom w:w="28" w:type="dxa"/>
          <w:right w:w="28" w:type="dxa"/>
        </w:tblCellMar>
      </w:tblPr>
      <w:tblGrid>
        <w:gridCol w:w="2063"/>
        <w:gridCol w:w="1807"/>
        <w:gridCol w:w="1829"/>
        <w:gridCol w:w="109"/>
        <w:gridCol w:w="109"/>
        <w:gridCol w:w="126"/>
        <w:gridCol w:w="126"/>
        <w:gridCol w:w="245"/>
        <w:gridCol w:w="979"/>
        <w:gridCol w:w="126"/>
        <w:gridCol w:w="109"/>
        <w:gridCol w:w="109"/>
        <w:gridCol w:w="109"/>
        <w:gridCol w:w="241"/>
        <w:gridCol w:w="945"/>
        <w:gridCol w:w="154"/>
      </w:tblGrid>
      <w:tr>
        <w:trPr/>
        <w:tc>
          <w:tcPr>
            <w:tcW w:w="2063" w:type="dxa"/>
            <w:tcBorders/>
            <w:vAlign w:val="center"/>
          </w:tcPr>
          <w:p>
            <w:pPr>
              <w:pStyle w:val="TableContents"/>
              <w:bidi w:val="0"/>
              <w:spacing w:before="0" w:after="283"/>
              <w:jc w:val="left"/>
              <w:rPr>
                <w:sz w:val="4"/>
                <w:szCs w:val="4"/>
              </w:rPr>
            </w:pPr>
            <w:r>
              <w:rPr>
                <w:sz w:val="4"/>
                <w:szCs w:val="4"/>
              </w:rPr>
            </w:r>
          </w:p>
        </w:tc>
        <w:tc>
          <w:tcPr>
            <w:tcW w:w="1807"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667" w:type="dxa"/>
            <w:gridSpan w:val="6"/>
            <w:tcBorders/>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1667" w:type="dxa"/>
            <w:gridSpan w:val="6"/>
            <w:tcBorders/>
          </w:tcPr>
          <w:p>
            <w:pPr>
              <w:pStyle w:val="TableContents"/>
              <w:bidi w:val="0"/>
              <w:spacing w:before="0" w:after="283"/>
              <w:jc w:val="left"/>
              <w:rPr>
                <w:sz w:val="4"/>
                <w:szCs w:val="4"/>
              </w:rPr>
            </w:pPr>
            <w:r>
              <w:rPr>
                <w:sz w:val="4"/>
                <w:szCs w:val="4"/>
              </w:rPr>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tenant reimbursement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136,441</w:t>
            </w:r>
            <w:r>
              <w:rPr>
                <w:color w:val="000000"/>
              </w:rPr>
              <w:t> </w:t>
            </w:r>
          </w:p>
        </w:tc>
        <w:tc>
          <w:tcPr>
            <w:tcW w:w="1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136,064 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management fee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related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6,695</w:t>
            </w:r>
            <w:r>
              <w:rPr>
                <w:color w:val="000000"/>
              </w:rPr>
              <w:t> </w:t>
            </w:r>
          </w:p>
        </w:tc>
        <w:tc>
          <w:tcPr>
            <w:tcW w:w="1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6,541 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143,294</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57,306</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44,027</w:t>
            </w:r>
            <w:r>
              <w:rPr>
                <w:color w:val="000000"/>
              </w:rPr>
              <w:t> </w:t>
            </w:r>
          </w:p>
        </w:tc>
        <w:tc>
          <w:tcPr>
            <w:tcW w:w="1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40,893 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15,263</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7,909</w:t>
            </w:r>
            <w:r>
              <w:rPr>
                <w:color w:val="000000"/>
              </w:rPr>
              <w:t> </w:t>
            </w:r>
          </w:p>
        </w:tc>
        <w:tc>
          <w:tcPr>
            <w:tcW w:w="1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124,505</w:t>
            </w: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(31,929)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w:t>
            </w:r>
            <w:r>
              <w:rPr>
                <w:color w:val="000000"/>
              </w:rPr>
              <w:t> </w:t>
            </w:r>
          </w:p>
        </w:tc>
        <w:tc>
          <w:tcPr>
            <w:tcW w:w="1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(31,704)</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(12,915)</w:t>
            </w:r>
          </w:p>
        </w:tc>
        <w:tc>
          <w:tcPr>
            <w:tcW w:w="12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(10,098)</w:t>
            </w:r>
          </w:p>
        </w:tc>
        <w:tc>
          <w:tcPr>
            <w:tcW w:w="1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Net income applicable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applicable to Piedmont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(12,920)</w:t>
            </w:r>
          </w:p>
        </w:tc>
        <w:tc>
          <w:tcPr>
            <w:tcW w:w="12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1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Per share information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applicable to common stockholders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(0.10)</w:t>
            </w:r>
          </w:p>
        </w:tc>
        <w:tc>
          <w:tcPr>
            <w:tcW w:w="1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(0.08)</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5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Weighted-average common shares outstanding –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124,806,053</w:t>
            </w:r>
            <w:r>
              <w:rPr>
                <w:color w:val="000000"/>
              </w:rPr>
              <w:t> </w:t>
            </w:r>
          </w:p>
        </w:tc>
        <w:tc>
          <w:tcPr>
            <w:tcW w:w="1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124,257,969 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COMPREHENSIVE LOSS (UNAUDITED)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845"/>
        <w:gridCol w:w="1410"/>
        <w:gridCol w:w="1419"/>
        <w:gridCol w:w="109"/>
        <w:gridCol w:w="109"/>
        <w:gridCol w:w="135"/>
        <w:gridCol w:w="135"/>
        <w:gridCol w:w="178"/>
        <w:gridCol w:w="178"/>
        <w:gridCol w:w="136"/>
        <w:gridCol w:w="135"/>
        <w:gridCol w:w="287"/>
        <w:gridCol w:w="194"/>
        <w:gridCol w:w="135"/>
        <w:gridCol w:w="109"/>
        <w:gridCol w:w="109"/>
        <w:gridCol w:w="109"/>
        <w:gridCol w:w="211"/>
        <w:gridCol w:w="759"/>
        <w:gridCol w:w="109"/>
        <w:gridCol w:w="109"/>
        <w:gridCol w:w="109"/>
        <w:gridCol w:w="109"/>
        <w:gridCol w:w="251"/>
        <w:gridCol w:w="252"/>
        <w:gridCol w:w="109"/>
        <w:gridCol w:w="109"/>
        <w:gridCol w:w="109"/>
        <w:gridCol w:w="109"/>
        <w:gridCol w:w="211"/>
        <w:gridCol w:w="759"/>
        <w:gridCol w:w="158"/>
      </w:tblGrid>
      <w:tr>
        <w:trPr/>
        <w:tc>
          <w:tcPr>
            <w:tcW w:w="1845"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800" w:type="dxa"/>
            <w:gridSpan w:val="18"/>
            <w:tcBorders/>
          </w:tcPr>
          <w:p>
            <w:pPr>
              <w:pStyle w:val="TableContents"/>
              <w:bidi w:val="0"/>
              <w:spacing w:before="0" w:after="283"/>
              <w:jc w:val="left"/>
              <w:rPr>
                <w:sz w:val="4"/>
                <w:szCs w:val="4"/>
              </w:rPr>
            </w:pPr>
            <w:r>
              <w:rPr>
                <w:sz w:val="4"/>
                <w:szCs w:val="4"/>
              </w:rPr>
            </w:r>
          </w:p>
        </w:tc>
      </w:tr>
      <w:tr>
        <w:trPr/>
        <w:tc>
          <w:tcPr>
            <w:tcW w:w="4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800" w:type="dxa"/>
            <w:gridSpan w:val="18"/>
            <w:tcBorders/>
          </w:tcPr>
          <w:p>
            <w:pPr>
              <w:pStyle w:val="TableContents"/>
              <w:bidi w:val="0"/>
              <w:spacing w:before="0" w:after="283"/>
              <w:jc w:val="left"/>
              <w:rPr>
                <w:sz w:val="4"/>
                <w:szCs w:val="4"/>
              </w:rPr>
            </w:pPr>
            <w:r>
              <w:rPr>
                <w:sz w:val="4"/>
                <w:szCs w:val="4"/>
              </w:rPr>
            </w:r>
          </w:p>
        </w:tc>
      </w:tr>
      <w:tr>
        <w:trPr/>
        <w:tc>
          <w:tcPr>
            <w:tcW w:w="46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135"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2394" w:type="dxa"/>
            <w:gridSpan w:val="12"/>
            <w:tcBorders/>
          </w:tcPr>
          <w:p>
            <w:pPr>
              <w:pStyle w:val="TableContents"/>
              <w:bidi w:val="0"/>
              <w:spacing w:before="0" w:after="283"/>
              <w:jc w:val="left"/>
              <w:rPr>
                <w:sz w:val="4"/>
                <w:szCs w:val="4"/>
              </w:rPr>
            </w:pPr>
            <w:r>
              <w:rPr>
                <w:sz w:val="4"/>
                <w:szCs w:val="4"/>
              </w:rPr>
            </w:r>
          </w:p>
        </w:tc>
      </w:tr>
      <w:tr>
        <w:trPr/>
        <w:tc>
          <w:tcPr>
            <w:tcW w:w="4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applicable to Piedmont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(12,920)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15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Effective portion of gain/(loss) on derivative instruments that are designated and qualify as cash flow hedges (See </w:t>
            </w:r>
            <w:hyperlink w:anchor="i818ebe5609f4435382271666666a7db1_55">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3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Minus: Reclassification of net loss/(gain) included in net loss (See </w:t>
            </w:r>
            <w:hyperlink w:anchor="i818ebe5609f4435382271666666a7db1_55">
              <w:r>
                <w:rPr>
                  <w:rStyle w:val="InternetLink"/>
                  <w:rFonts w:ascii="Times New Roman;serif" w:hAnsi="Times New Roman;serif"/>
                  <w:b w:val="false"/>
                  <w:color w:val="0000FF"/>
                  <w:sz w:val="20"/>
                  <w:u w:val="single"/>
                </w:rPr>
                <w:t>Note 4</w:t>
              </w:r>
            </w:hyperlink>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67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58"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7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Comprehensive loss applicable to Piedmont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(12,333)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(10,556)</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THREE MONTHS ENDED MARCH 31, 2026 AND 2025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thousands, except per share amounts)</w:t>
      </w:r>
    </w:p>
    <w:p>
      <w:pPr>
        <w:pStyle w:val="TextBody"/>
        <w:bidi w:val="0"/>
        <w:spacing w:before="0" w:after="0"/>
        <w:jc w:val="center"/>
        <w:rPr/>
      </w:pPr>
      <w:r>
        <w:rPr/>
      </w:r>
    </w:p>
    <w:tbl>
      <w:tblPr>
        <w:tblW w:w="11386" w:type="dxa"/>
        <w:jc w:val="center"/>
        <w:tblInd w:w="0" w:type="dxa"/>
        <w:tblLayout w:type="fixed"/>
        <w:tblCellMar>
          <w:top w:w="28" w:type="dxa"/>
          <w:left w:w="28" w:type="dxa"/>
          <w:bottom w:w="28" w:type="dxa"/>
          <w:right w:w="28" w:type="dxa"/>
        </w:tblCellMar>
      </w:tblPr>
      <w:tblGrid>
        <w:gridCol w:w="697"/>
        <w:gridCol w:w="244"/>
        <w:gridCol w:w="245"/>
        <w:gridCol w:w="420"/>
        <w:gridCol w:w="421"/>
        <w:gridCol w:w="211"/>
        <w:gridCol w:w="109"/>
        <w:gridCol w:w="109"/>
        <w:gridCol w:w="109"/>
        <w:gridCol w:w="211"/>
        <w:gridCol w:w="631"/>
        <w:gridCol w:w="109"/>
        <w:gridCol w:w="109"/>
        <w:gridCol w:w="109"/>
        <w:gridCol w:w="109"/>
        <w:gridCol w:w="211"/>
        <w:gridCol w:w="991"/>
        <w:gridCol w:w="109"/>
        <w:gridCol w:w="109"/>
        <w:gridCol w:w="109"/>
        <w:gridCol w:w="109"/>
        <w:gridCol w:w="211"/>
        <w:gridCol w:w="991"/>
        <w:gridCol w:w="109"/>
        <w:gridCol w:w="109"/>
        <w:gridCol w:w="109"/>
        <w:gridCol w:w="109"/>
        <w:gridCol w:w="289"/>
        <w:gridCol w:w="866"/>
        <w:gridCol w:w="151"/>
        <w:gridCol w:w="109"/>
        <w:gridCol w:w="109"/>
        <w:gridCol w:w="109"/>
        <w:gridCol w:w="211"/>
        <w:gridCol w:w="631"/>
        <w:gridCol w:w="109"/>
        <w:gridCol w:w="109"/>
        <w:gridCol w:w="109"/>
        <w:gridCol w:w="109"/>
        <w:gridCol w:w="211"/>
        <w:gridCol w:w="991"/>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Cumulative Distributions in Excess of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 controlling 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2025</w:t>
            </w:r>
          </w:p>
        </w:tc>
        <w:tc>
          <w:tcPr>
            <w:tcW w:w="841"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124,519</w:t>
            </w:r>
            <w:r>
              <w:rPr>
                <w:color w:val="000000"/>
              </w:rPr>
              <w:t> </w:t>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1,245</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3,730,273</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(2,227,350)</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(8,967)</w:t>
            </w:r>
          </w:p>
        </w:tc>
        <w:tc>
          <w:tcPr>
            <w:tcW w:w="15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1,502</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1,496,703</w:t>
            </w:r>
            <w:r>
              <w:rPr>
                <w:color w:val="000000"/>
              </w:rPr>
              <w:t> </w:t>
            </w:r>
          </w:p>
        </w:tc>
        <w:tc>
          <w:tcPr>
            <w:tcW w:w="1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issuance of common stock</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stockholders of subsidiaries</w:t>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(123)</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(131)</w:t>
            </w:r>
          </w:p>
        </w:tc>
        <w:tc>
          <w:tcPr>
            <w:tcW w:w="154" w:type="dxa"/>
            <w:tcBorders/>
            <w:shd w:fill="F8F4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and amortized under the 2007 Omnibus Incentive Plan, net of tax</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500</w:t>
            </w: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applicable to noncontrolling interest</w:t>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applicable to Piedmont</w:t>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841"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w:t>
            </w:r>
            <w:r>
              <w:rPr>
                <w:color w:val="000000"/>
              </w:rPr>
              <w:t> </w:t>
            </w:r>
          </w:p>
        </w:tc>
        <w:tc>
          <w:tcPr>
            <w:tcW w:w="1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587</w:t>
            </w:r>
            <w:r>
              <w:rPr>
                <w:color w:val="000000"/>
              </w:rPr>
              <w:t>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2026</w:t>
            </w:r>
          </w:p>
        </w:tc>
        <w:tc>
          <w:tcPr>
            <w:tcW w:w="84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125,019</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3,728,827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(2,240,270)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(8,380)</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1,482,926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tbl>
      <w:tblPr>
        <w:tblW w:w="11311" w:type="dxa"/>
        <w:jc w:val="center"/>
        <w:tblInd w:w="0" w:type="dxa"/>
        <w:tblLayout w:type="fixed"/>
        <w:tblCellMar>
          <w:top w:w="28" w:type="dxa"/>
          <w:left w:w="28" w:type="dxa"/>
          <w:bottom w:w="28" w:type="dxa"/>
          <w:right w:w="28" w:type="dxa"/>
        </w:tblCellMar>
      </w:tblPr>
      <w:tblGrid>
        <w:gridCol w:w="697"/>
        <w:gridCol w:w="244"/>
        <w:gridCol w:w="245"/>
        <w:gridCol w:w="413"/>
        <w:gridCol w:w="413"/>
        <w:gridCol w:w="211"/>
        <w:gridCol w:w="109"/>
        <w:gridCol w:w="109"/>
        <w:gridCol w:w="109"/>
        <w:gridCol w:w="211"/>
        <w:gridCol w:w="616"/>
        <w:gridCol w:w="109"/>
        <w:gridCol w:w="109"/>
        <w:gridCol w:w="109"/>
        <w:gridCol w:w="109"/>
        <w:gridCol w:w="211"/>
        <w:gridCol w:w="976"/>
        <w:gridCol w:w="109"/>
        <w:gridCol w:w="109"/>
        <w:gridCol w:w="109"/>
        <w:gridCol w:w="109"/>
        <w:gridCol w:w="211"/>
        <w:gridCol w:w="991"/>
        <w:gridCol w:w="109"/>
        <w:gridCol w:w="109"/>
        <w:gridCol w:w="109"/>
        <w:gridCol w:w="109"/>
        <w:gridCol w:w="260"/>
        <w:gridCol w:w="910"/>
        <w:gridCol w:w="136"/>
        <w:gridCol w:w="109"/>
        <w:gridCol w:w="109"/>
        <w:gridCol w:w="109"/>
        <w:gridCol w:w="211"/>
        <w:gridCol w:w="616"/>
        <w:gridCol w:w="109"/>
        <w:gridCol w:w="109"/>
        <w:gridCol w:w="109"/>
        <w:gridCol w:w="109"/>
        <w:gridCol w:w="211"/>
        <w:gridCol w:w="976"/>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Cumulative Distributions in Excess of 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Income/(Loss)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Non- controlling Interest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1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December 31, 2024</w:t>
            </w:r>
          </w:p>
        </w:tc>
        <w:tc>
          <w:tcPr>
            <w:tcW w:w="826"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124,083 </w:t>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3,723,680 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(2,128,194)</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(10,123)</w:t>
            </w:r>
          </w:p>
        </w:tc>
        <w:tc>
          <w:tcPr>
            <w:tcW w:w="13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1,588,127 </w:t>
            </w:r>
          </w:p>
        </w:tc>
        <w:tc>
          <w:tcPr>
            <w:tcW w:w="1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issuance of common stock</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Dividends to common stockholders ($0.125 per share) and stockholders of subsidiaries</w:t>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w:t>
            </w:r>
          </w:p>
        </w:tc>
        <w:tc>
          <w:tcPr>
            <w:tcW w:w="154" w:type="dxa"/>
            <w:tcBorders/>
            <w:shd w:fill="F8F4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and amortized under the 2007 Omnibus Incentive Plan, net of tax</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applicable to noncontrolling interest</w:t>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applicable to Piedmont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3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 March 31, 2025</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124,408 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(2,153,834)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1,561,731 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PIEDMONT REALTY TRUST,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CONSOLIDATED STATEMENTS OF CASH FLOWS (UNAUDITED)</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(in thousands) </w:t>
      </w:r>
    </w:p>
    <w:tbl>
      <w:tblPr>
        <w:tblW w:w="8754" w:type="dxa"/>
        <w:jc w:val="center"/>
        <w:tblInd w:w="0" w:type="dxa"/>
        <w:tblLayout w:type="fixed"/>
        <w:tblCellMar>
          <w:top w:w="28" w:type="dxa"/>
          <w:left w:w="28" w:type="dxa"/>
          <w:bottom w:w="28" w:type="dxa"/>
          <w:right w:w="28" w:type="dxa"/>
        </w:tblCellMar>
      </w:tblPr>
      <w:tblGrid>
        <w:gridCol w:w="2290"/>
        <w:gridCol w:w="2016"/>
        <w:gridCol w:w="2024"/>
        <w:gridCol w:w="196"/>
        <w:gridCol w:w="721"/>
        <w:gridCol w:w="109"/>
        <w:gridCol w:w="109"/>
        <w:gridCol w:w="109"/>
        <w:gridCol w:w="109"/>
        <w:gridCol w:w="196"/>
        <w:gridCol w:w="721"/>
        <w:gridCol w:w="154"/>
      </w:tblGrid>
      <w:tr>
        <w:trPr/>
        <w:tc>
          <w:tcPr>
            <w:tcW w:w="2290"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0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(12,915)</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(10,098)</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provided by operating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44,027</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40,893 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 inclusive of settled interest rate swaps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amortization</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15,597</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14,414 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on early extinguishment of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compensation expense</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2,225</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2,193 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real estate assets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102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tenant and straight-line rent receivables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prepaid expenses and other assets</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(494)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(3,778)</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accounts payable and accrued expenses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deferred income</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28,108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02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expenditures</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(39,629)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proceeds from wholly-owned properties</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5,660 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lease costs paid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(48,341)</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(39,766)</w:t>
            </w:r>
          </w:p>
        </w:tc>
        <w:tc>
          <w:tcPr>
            <w:tcW w:w="1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issuance and other costs paid</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(251)</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debt</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87,000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366,087 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debt</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(60,924)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(403,886)</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of issuance of common stock</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Value of shares withheld for payment of taxes related to employee stock compensation</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(2,964)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(2,138)</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by/(used in) financing activities</w:t>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22,777</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(71,196)</w:t>
            </w:r>
          </w:p>
        </w:tc>
        <w:tc>
          <w:tcPr>
            <w:tcW w:w="1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increase/(decrease) in cash, cash equivalents, and restricted cash and escrows</w:t>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(107,248)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and escrows, beginning of period</w:t>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3,791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113,882 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cash equivalents, and restricted cash and escrows, end of period</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6,335</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PIEDMONT REALTY TRUST,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NOTES TO CONSOLIDATED FINANCIAL STATEMENTS</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MARCH 31,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    Organization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 Realty Trust, Inc. (“Piedmont”) (NYSE: PDM) is a Maryland corporation that operates in a manner so as to qualify as a real estate investment trust (“REIT”) for federal income tax purposes and engages in the ownership, management, development, redevelopment, and operation of high-quality, Class A office properties located primarily in major U.S. Sunbelt markets. Piedmont was incorporated in 1997 and commenced operations in 1998. Piedmont conducts business through its wholly-owned subsidiary, Piedmont Operating Partnership, L.P. (“Piedmont OP”), a Delaware limited partnership. Piedmont OP owns properties directly, through wholly-owned subsidiaries, and through various joint ventures which it controls. References to Piedmont herein shall include Piedmont and all of its subsidiaries, including Piedmont OP and its subsidiaries and joint ventures.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Piedmont owned and operated a portfolio comprised of 29 in-service projects and three redevelopment projects. The in-service office projects total approximately 14.9 million square feet (unaudited) of primarily Class A office space and were 89.3% leased as of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 and Principles of Consolidation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consolidated financial statements of Piedmont are prepared in accordance with the rules and regulations of the Securities and Exchange Commission (the “SEC”), including the instructions to Form 10-Q and Article 10 of Regulation S-X, and do not include all of the information and footnotes required by GAAP for complete financial statements. In the opinion of management, the statements for the unaudited interim periods presented include all adjustments, which are of a normal and recurring nature, necessary for a fair presentation of the results for such periods. Results for these interim periods are not necessarily indicative of a full year’s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Piedmont’s consolidated financial statements include the accounts of Piedmont, Piedmont’s wholly-owned subsidiaries, any variable interest entity ("VIE") of which Piedmont or any of its wholly-owned subsidiaries is considered to have the power to direct the activities of the entity and the obligation to absorb losses/right to receive benefits, or any entity in which Piedmont or any of its wholly-owned subsidiaries owns a controlling interest. In determining whether Piedmont or Piedmont OP has a controlling interest, the following factors, among others, are considered: equity ownership, voting rights, protective rights of investors, and participatory rights of investors. For further information, refer to the financial statements and footnotes included in Piedmont’s Annual Report on Form 10-K for the year ended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intercompany balances and transactions have been eliminated upon consolidation.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Further, Piedmont has formed special purpose entities to acquire and hold real estate. Each special purpose entity is a separate legal entity. Consequently, the assets of these special purpose entities are not available to all creditors of Piedmont. The assets owned by these special purpose entities are being reported on a consolidated basis with Piedmont’s assets for financial reporting purposes only.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preparation of the accompanying consolidated financial statements in conformity with GAAP requires management to make estimates and assumptions that affect the amounts reported in the accompanying consolidated financial statements and notes. The most significant of these estimates include the underlying cash flows and holding periods used in assessing impairment, judgments regarding the recoverability of goodwill, and the assessment of the collectability of receivables. While Piedmont has made, what it believes to be, appropriate accounting estimates based on the facts and circumstances available as of the reporting date, actual results could differ materially from those estimates.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 has elected to be taxed as a REIT under the Internal Revenue Code of 1986, as amended, and has operated as such, beginning with its taxable year ended December 31, 1998. To qualify as a REIT, Piedmont must meet certain organizational and operational requirements, including a requirement to distribute at least 90% of its annual REIT taxable income. As a REIT, Piedmont is generally not subject to federal income taxes, subject to fulfilling, among other things, its taxable income distribution requirement. Piedmont is subject to certain taxes related to the operations of projects in certain locations, as well as operations conducted by its taxable REIT subsidiary which have been provided for in the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 recognized the following fixed and variable lease payments, which together comprised rental and tenant reimbursement revenue in the accompanying consolidated statements of operations for the three months ended March 31, 2026 and 2025, respectively, as follows (in thousands):</w:t>
      </w:r>
    </w:p>
    <w:p>
      <w:pPr>
        <w:pStyle w:val="TextBody"/>
        <w:bidi w:val="0"/>
        <w:spacing w:before="0" w:after="0"/>
        <w:jc w:val="both"/>
        <w:rPr/>
      </w:pPr>
      <w:r>
        <w:rPr/>
      </w:r>
    </w:p>
    <w:tbl>
      <w:tblPr>
        <w:tblW w:w="7523" w:type="dxa"/>
        <w:jc w:val="center"/>
        <w:tblInd w:w="0" w:type="dxa"/>
        <w:tblLayout w:type="fixed"/>
        <w:tblCellMar>
          <w:top w:w="28" w:type="dxa"/>
          <w:left w:w="28" w:type="dxa"/>
          <w:bottom w:w="28" w:type="dxa"/>
          <w:right w:w="28" w:type="dxa"/>
        </w:tblCellMar>
      </w:tblPr>
      <w:tblGrid>
        <w:gridCol w:w="1514"/>
        <w:gridCol w:w="1332"/>
        <w:gridCol w:w="1339"/>
        <w:gridCol w:w="109"/>
        <w:gridCol w:w="109"/>
        <w:gridCol w:w="126"/>
        <w:gridCol w:w="126"/>
        <w:gridCol w:w="245"/>
        <w:gridCol w:w="979"/>
        <w:gridCol w:w="126"/>
        <w:gridCol w:w="109"/>
        <w:gridCol w:w="109"/>
        <w:gridCol w:w="109"/>
        <w:gridCol w:w="211"/>
        <w:gridCol w:w="826"/>
        <w:gridCol w:w="154"/>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518" w:type="dxa"/>
            <w:gridSpan w:val="6"/>
            <w:tcBorders/>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418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113,393</w:t>
            </w:r>
            <w:r>
              <w:rPr>
                <w:color w:val="000000"/>
              </w:rPr>
              <w:t> </w:t>
            </w:r>
          </w:p>
        </w:tc>
        <w:tc>
          <w:tcPr>
            <w:tcW w:w="12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111,776 </w:t>
            </w:r>
          </w:p>
        </w:tc>
        <w:tc>
          <w:tcPr>
            <w:tcW w:w="1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23,048</w:t>
            </w: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Rental and Tenant Reimbursement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7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136,441</w:t>
            </w:r>
            <w:r>
              <w:rPr>
                <w:color w:val="000000"/>
              </w:rPr>
              <w:t> </w:t>
            </w:r>
          </w:p>
        </w:tc>
        <w:tc>
          <w:tcPr>
            <w:tcW w:w="12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136,064 </w:t>
            </w:r>
          </w:p>
        </w:tc>
        <w:tc>
          <w:tcPr>
            <w:tcW w:w="154"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Income Statement Expense Disaggregation Disclosures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FASB has issued Accounting Standards Update ("ASU") No. 2024-03, </w:t>
      </w:r>
      <w:r>
        <w:rPr>
          <w:rFonts w:ascii="Times New Roman;serif" w:hAnsi="Times New Roman;serif"/>
          <w:b w:val="false"/>
          <w:i/>
          <w:color w:val="000000"/>
          <w:sz w:val="20"/>
        </w:rPr>
        <w:t xml:space="preserve">Income Statement—Reporting Comprehensive Income—Expense Disaggregation Disclosures (Subtopic 220-40): Disaggregation of Income Statement Expenses </w:t>
      </w:r>
      <w:r>
        <w:rPr>
          <w:rFonts w:ascii="Times New Roman;serif" w:hAnsi="Times New Roman;serif"/>
          <w:b w:val="false"/>
          <w:color w:val="000000"/>
          <w:sz w:val="20"/>
        </w:rPr>
        <w:t>("ASU 2024-03"). ASU 2024-03 aims to enhance the transparency and presentation of income statement expenses in response to increasing demand from investors and other stakeholders for greater clarity and comparability surrounding the nature and composition of an entity's expenses. The amendments of ASU 2024-03 require tabular disclosure of certain cost and expense information, such as employee compensation, in the footnotes to the financial statements. ASU 2024-03 is effective for Piedmont beginning with the Form 10-K for the year ended December 31, 2027, and subsequent interim periods beginning in calendar-year 2028. Piedmont is currently evaluating the potential impact of adoption; however, Piedmont does not anticipate any material impact to its consolidated financial statements as a result of adoption of ASU 2024-03.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3.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terms of Piedmont’s consolidated indebtedness outstanding as of March 31, 2026 and December 31, 2025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37"/>
        <w:gridCol w:w="826"/>
        <w:gridCol w:w="808"/>
        <w:gridCol w:w="109"/>
        <w:gridCol w:w="109"/>
        <w:gridCol w:w="109"/>
        <w:gridCol w:w="296"/>
        <w:gridCol w:w="297"/>
        <w:gridCol w:w="525"/>
        <w:gridCol w:w="109"/>
        <w:gridCol w:w="109"/>
        <w:gridCol w:w="109"/>
        <w:gridCol w:w="290"/>
        <w:gridCol w:w="259"/>
        <w:gridCol w:w="588"/>
        <w:gridCol w:w="109"/>
        <w:gridCol w:w="109"/>
        <w:gridCol w:w="109"/>
        <w:gridCol w:w="290"/>
        <w:gridCol w:w="290"/>
        <w:gridCol w:w="292"/>
        <w:gridCol w:w="109"/>
        <w:gridCol w:w="109"/>
        <w:gridCol w:w="109"/>
        <w:gridCol w:w="211"/>
        <w:gridCol w:w="991"/>
        <w:gridCol w:w="109"/>
        <w:gridCol w:w="109"/>
        <w:gridCol w:w="109"/>
        <w:gridCol w:w="109"/>
        <w:gridCol w:w="228"/>
        <w:gridCol w:w="1059"/>
        <w:gridCol w:w="174"/>
      </w:tblGrid>
      <w:tr>
        <w:trPr/>
        <w:tc>
          <w:tcPr>
            <w:tcW w:w="1037"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671"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Facility </w:t>
            </w:r>
            <w:r>
              <w:rPr>
                <w:rFonts w:ascii="Times New Roman;serif" w:hAnsi="Times New Roman;serif"/>
                <w:b/>
                <w:color w:val="000000"/>
                <w:sz w:val="10"/>
              </w:rPr>
              <w:t>(1)</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Stated Rate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Effective Rate </w:t>
            </w:r>
            <w:r>
              <w:rPr>
                <w:rFonts w:ascii="Times New Roman;serif" w:hAnsi="Times New Roman;serif"/>
                <w:b/>
                <w:color w:val="000000"/>
                <w:sz w:val="10"/>
              </w:rPr>
              <w:t>(2)</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 Outstanding as of</w:t>
            </w:r>
          </w:p>
        </w:tc>
      </w:tr>
      <w:tr>
        <w:trPr/>
        <w:tc>
          <w:tcPr>
            <w:tcW w:w="26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671"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Secured (Fixed)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$197 Million Fixed Rate Mortgage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187,899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188,822 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Unsecured (Variable and Fixed)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r>
      <w:tr>
        <w:trPr/>
        <w:tc>
          <w:tcPr>
            <w:tcW w:w="267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Million Unsecured 2022 Line of Credit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SOFR + 1.05%</w:t>
            </w:r>
          </w:p>
        </w:tc>
        <w:tc>
          <w:tcPr>
            <w:tcW w:w="327" w:type="dxa"/>
            <w:gridSpan w:val="3"/>
            <w:tcBorders/>
            <w:shd w:fill="F8F4F1"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54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58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87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6/30/2028</w:t>
            </w:r>
          </w:p>
        </w:tc>
        <w:tc>
          <w:tcPr>
            <w:tcW w:w="327" w:type="dxa"/>
            <w:gridSpan w:val="3"/>
            <w:tcBorders/>
            <w:shd w:fill="F8F4F1"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74,000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47,000 </w:t>
            </w:r>
          </w:p>
        </w:tc>
        <w:tc>
          <w:tcPr>
            <w:tcW w:w="17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$325 Million Unsecured 2024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 xml:space="preserve">SOFR + 1.30%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1/29/2027</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325,000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$600 Million Unsecured Senior Notes due 2028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52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58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7/20/2028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287,258</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287,258 </w:t>
            </w:r>
          </w:p>
        </w:tc>
        <w:tc>
          <w:tcPr>
            <w:tcW w:w="17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Unsecured Senior Notes due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Million Unsecured Senior Notes due 2030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52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58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40" w:after="283"/>
              <w:jc w:val="left"/>
              <w:rPr/>
            </w:pPr>
            <w:r>
              <w:rPr/>
            </w:r>
          </w:p>
        </w:tc>
        <w:tc>
          <w:tcPr>
            <w:tcW w:w="87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8/15/2030</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300,000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 Million Unsecured Senior Notes due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40" w:after="283"/>
              <w:jc w:val="left"/>
              <w:rPr/>
            </w:pPr>
            <w:r>
              <w:rPr/>
            </w:r>
          </w:p>
        </w:tc>
        <w:tc>
          <w:tcPr>
            <w:tcW w:w="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$400 Million Unsecured Senior Notes due 2033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52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58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1/15/2033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400,000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7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Unamortized discounts and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Subtotal/Weighted Average</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588"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2,064,452</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2,035,890 </w:t>
            </w:r>
          </w:p>
        </w:tc>
        <w:tc>
          <w:tcPr>
            <w:tcW w:w="17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Total/Weighted Average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2,252,351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2,224,712 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6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All of Piedmont’s outstanding debt as of March 31, 2026 is unsecured and interest-only until maturity, except for the $197 Million Fixed Rate Mortgage, which is secured by 1180 Peachtree Street.</w:t>
      </w:r>
    </w:p>
    <w:p>
      <w:pPr>
        <w:pStyle w:val="TextBody"/>
        <w:bidi w:val="0"/>
        <w:spacing w:lineRule="auto" w:line="288" w:before="60" w:after="60"/>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Effective rate after consideration of settled interest rate swap agreements and issuance discounts.</w:t>
      </w:r>
    </w:p>
    <w:p>
      <w:pPr>
        <w:pStyle w:val="TextBody"/>
        <w:bidi w:val="0"/>
        <w:spacing w:lineRule="auto" w:line="288" w:before="60" w:after="60"/>
        <w:ind w:left="0" w:right="0" w:hanging="720"/>
        <w:jc w:val="both"/>
        <w:rPr/>
      </w:pPr>
      <w:r>
        <w:rPr>
          <w:rFonts w:ascii="Times New Roman;serif" w:hAnsi="Times New Roman;serif"/>
          <w:b w:val="false"/>
          <w:color w:val="000000"/>
          <w:sz w:val="12"/>
        </w:rPr>
        <w:t>(3)</w:t>
      </w:r>
      <w:r>
        <w:rPr>
          <w:rFonts w:ascii="Times New Roman;serif" w:hAnsi="Times New Roman;serif"/>
          <w:b w:val="false"/>
          <w:color w:val="000000"/>
          <w:sz w:val="18"/>
        </w:rPr>
        <w:t>The all-in interest rates associated with the SOFR selections are comprised of the base SOFR interest rate and a stated interest rate spread that can vary from 0.72% to 1.40% on the $600 Million Unsecured 2022 Line of Credit and 0.85% to 1.70% on the $325 Million Unsecured 2024 Term Loan based upon the then current credit rating (as defined in the respective loan agreement) of Piedmont or Piedmont OP.</w:t>
      </w:r>
    </w:p>
    <w:p>
      <w:pPr>
        <w:pStyle w:val="TextBody"/>
        <w:bidi w:val="0"/>
        <w:spacing w:lineRule="auto" w:line="288" w:before="60" w:after="60"/>
        <w:ind w:left="0" w:right="0" w:hanging="720"/>
        <w:jc w:val="both"/>
        <w:rPr/>
      </w:pPr>
      <w:r>
        <w:rPr>
          <w:rFonts w:ascii="Times New Roman;serif" w:hAnsi="Times New Roman;serif"/>
          <w:b w:val="false"/>
          <w:color w:val="000000"/>
          <w:sz w:val="12"/>
        </w:rPr>
        <w:t>(4)</w:t>
      </w:r>
      <w:r>
        <w:rPr>
          <w:rFonts w:ascii="Times New Roman;serif" w:hAnsi="Times New Roman;serif"/>
          <w:b w:val="false"/>
          <w:color w:val="000000"/>
          <w:sz w:val="18"/>
        </w:rPr>
        <w:t xml:space="preserve">On a periodic basis, Piedmont may select from multiple interest rate options, including the prime rate and various-length SOFR locks on all or a portion of the principal. </w:t>
      </w:r>
    </w:p>
    <w:p>
      <w:pPr>
        <w:pStyle w:val="TextBody"/>
        <w:bidi w:val="0"/>
        <w:spacing w:lineRule="auto" w:line="288" w:before="60" w:after="60"/>
        <w:ind w:left="0" w:right="0" w:hanging="720"/>
        <w:jc w:val="both"/>
        <w:rPr/>
      </w:pPr>
      <w:r>
        <w:rPr>
          <w:rFonts w:ascii="Times New Roman;serif" w:hAnsi="Times New Roman;serif"/>
          <w:b w:val="false"/>
          <w:color w:val="000000"/>
          <w:sz w:val="12"/>
        </w:rPr>
        <w:t>(5)</w:t>
      </w:r>
      <w:r>
        <w:rPr>
          <w:rFonts w:ascii="Times New Roman;serif" w:hAnsi="Times New Roman;serif"/>
          <w:b w:val="false"/>
          <w:color w:val="000000"/>
          <w:sz w:val="18"/>
        </w:rPr>
        <w:t>Piedmont may extend the term of the $600 Million Unsecured 2022 Line of Credit for up to two additional years (through two available one-year extensions to a final extended maturity date of June 30, 2030); provided that Piedmont is not then in default and upon payment of extension fees.</w:t>
      </w:r>
    </w:p>
    <w:p>
      <w:pPr>
        <w:pStyle w:val="TextBody"/>
        <w:bidi w:val="0"/>
        <w:spacing w:lineRule="auto" w:line="288" w:before="0" w:after="60"/>
        <w:ind w:left="0" w:right="0" w:hanging="720"/>
        <w:jc w:val="both"/>
        <w:rPr/>
      </w:pPr>
      <w:r>
        <w:rPr>
          <w:rFonts w:ascii="Times New Roman;serif" w:hAnsi="Times New Roman;serif"/>
          <w:b w:val="false"/>
          <w:color w:val="000000"/>
          <w:sz w:val="12"/>
        </w:rPr>
        <w:t>(6)</w:t>
      </w:r>
      <w:r>
        <w:rPr>
          <w:rFonts w:ascii="Times New Roman;serif" w:hAnsi="Times New Roman;serif"/>
          <w:b w:val="false"/>
          <w:color w:val="000000"/>
          <w:sz w:val="18"/>
        </w:rPr>
        <w:t>Piedmont may extend the term for up to two six-month extension options for a final maturity date of January 29, 2028; provided that Piedmont is not then in default and upon payment of extension fees.</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Piedmont made interest payments on all debt facilities, including interest rate swap cash settlements, of approximately $39.1 million and $54.6 million for the three months ended March 31, 2026 and 2025, respectively. Also, Piedmont capitalized interest of approximately $1.1 million and $3.3 million for the three months ended March 31, 2026 and 2025, respectively. As of March 31, 2026, Piedmont believes it was in compliance with all financial covenants associated with its debt instruments.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See </w:t>
      </w:r>
      <w:hyperlink w:anchor="i818ebe5609f4435382271666666a7db1_58">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for a description of Piedmont’s estimated fair value of debt as of March 31, 2026.</w:t>
      </w:r>
    </w:p>
    <w:p>
      <w:pPr>
        <w:pStyle w:val="TextBody"/>
        <w:bidi w:val="0"/>
        <w:spacing w:before="60" w:after="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Derivative Instruments</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Risk Management Objective of Using Derivatives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operational risks which arise in the normal course of business, Piedmont is exposed to economic risks such as interest rate, liquidity, and credit risk. From time to time, Piedmont has entered into derivative financial instruments, specifically interest rate swap agreements, to manage interest rate risk exposure arising from current or future variable rate debt transactions. Piedmont’s objective in using interest rate derivatives is to add stability to interest expense and to manage its exposure to interest rate movements.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 Hedges of Interest Rate Risk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rate swaps designated as cash flow hedges involve the receipt of variable-rate amounts from a counterparty in exchange for Piedmont making fixed-rate payments over the life of the agreements without exchange of the underlying notional amount. During the three months ended March 31, 2026, the remaining five interest rate swap agreements associated with the $325 Million Unsecured 2024 Term Loan expired and as such, Piedmont had no interest rate swaps outstanding as of March 31, 2026.</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Piedmont presents its interest rate derivatives on its consolidated balance sheets on a gross basis as interest rate swap assets and interest rate swap liabilities. A detail of Piedmont’s interest rate derivatives on a gross and net basis as of March 31, 2026 and December 31, 2025, respectively, is as follows (in thousands):</w:t>
      </w:r>
    </w:p>
    <w:p>
      <w:pPr>
        <w:pStyle w:val="TextBody"/>
        <w:bidi w:val="0"/>
        <w:spacing w:before="0" w:after="0"/>
        <w:jc w:val="both"/>
        <w:rPr/>
      </w:pPr>
      <w:r>
        <w:rPr/>
      </w:r>
    </w:p>
    <w:tbl>
      <w:tblPr>
        <w:tblW w:w="4750" w:type="dxa"/>
        <w:jc w:val="center"/>
        <w:tblInd w:w="0" w:type="dxa"/>
        <w:tblLayout w:type="fixed"/>
        <w:tblCellMar>
          <w:top w:w="28" w:type="dxa"/>
          <w:left w:w="28" w:type="dxa"/>
          <w:bottom w:w="28" w:type="dxa"/>
          <w:right w:w="28" w:type="dxa"/>
        </w:tblCellMar>
      </w:tblPr>
      <w:tblGrid>
        <w:gridCol w:w="879"/>
        <w:gridCol w:w="774"/>
        <w:gridCol w:w="777"/>
        <w:gridCol w:w="248"/>
        <w:gridCol w:w="478"/>
        <w:gridCol w:w="128"/>
        <w:gridCol w:w="109"/>
        <w:gridCol w:w="109"/>
        <w:gridCol w:w="109"/>
        <w:gridCol w:w="265"/>
        <w:gridCol w:w="681"/>
        <w:gridCol w:w="193"/>
      </w:tblGrid>
      <w:tr>
        <w:trPr/>
        <w:tc>
          <w:tcPr>
            <w:tcW w:w="87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Interest rate swaps classified as:</w:t>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4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derivative assets</w:t>
            </w:r>
          </w:p>
        </w:tc>
        <w:tc>
          <w:tcPr>
            <w:tcW w:w="248"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8"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derivative liabilities</w:t>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derivative liability</w:t>
            </w:r>
          </w:p>
        </w:tc>
        <w:tc>
          <w:tcPr>
            <w:tcW w:w="248"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78"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93"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gain/(loss) on Piedmont's interest rate derivatives, including previously settled forward swaps, that was recorded in OCI and the accompanying consolidated statements of operations as a component of interest expense for the three months ended March 31, 2026 and 2025, respectively, is as follows (in thousands):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549"/>
        <w:gridCol w:w="2213"/>
        <w:gridCol w:w="2226"/>
        <w:gridCol w:w="109"/>
        <w:gridCol w:w="109"/>
        <w:gridCol w:w="125"/>
        <w:gridCol w:w="125"/>
        <w:gridCol w:w="243"/>
        <w:gridCol w:w="903"/>
        <w:gridCol w:w="125"/>
        <w:gridCol w:w="109"/>
        <w:gridCol w:w="109"/>
        <w:gridCol w:w="109"/>
        <w:gridCol w:w="211"/>
        <w:gridCol w:w="781"/>
        <w:gridCol w:w="159"/>
      </w:tblGrid>
      <w:tr>
        <w:trPr/>
        <w:tc>
          <w:tcPr>
            <w:tcW w:w="2549"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478" w:type="dxa"/>
            <w:gridSpan w:val="6"/>
            <w:tcBorders/>
          </w:tcPr>
          <w:p>
            <w:pPr>
              <w:pStyle w:val="TableContents"/>
              <w:bidi w:val="0"/>
              <w:spacing w:before="0" w:after="283"/>
              <w:jc w:val="left"/>
              <w:rPr>
                <w:sz w:val="4"/>
                <w:szCs w:val="4"/>
              </w:rPr>
            </w:pPr>
            <w:r>
              <w:rPr>
                <w:sz w:val="4"/>
                <w:szCs w:val="4"/>
              </w:rPr>
            </w:r>
          </w:p>
        </w:tc>
      </w:tr>
      <w:tr>
        <w:trPr/>
        <w:tc>
          <w:tcPr>
            <w:tcW w:w="69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Interest Rate Swaps in Cash Flow Hedging Relationships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698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 of loss recognized in OCI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w:t>
            </w:r>
          </w:p>
        </w:tc>
        <w:tc>
          <w:tcPr>
            <w:tcW w:w="125"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5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Amount of previously recorded gain/(loss) reclassified from OCI into 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(592)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r>
      <w:tr>
        <w:trPr/>
        <w:tc>
          <w:tcPr>
            <w:tcW w:w="698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7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amount of interest expense presented in the consolidated statements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(31,929)</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8"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amount of loss on early extinguishment of debt presented in the consolidated statements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3"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5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Piedmont estimates that approximately $1.9 million will be reclassified from OCI as an increase to interest expense over the next twelve months. Additionally, see </w:t>
      </w:r>
      <w:hyperlink w:anchor="i818ebe5609f4435382271666666a7db1_58">
        <w:r>
          <w:rPr>
            <w:rStyle w:val="InternetLink"/>
            <w:rFonts w:ascii="Times New Roman;serif" w:hAnsi="Times New Roman;serif"/>
            <w:b w:val="false"/>
            <w:color w:val="0000FF"/>
            <w:sz w:val="20"/>
            <w:u w:val="single"/>
          </w:rPr>
          <w:t>Note 5</w:t>
        </w:r>
      </w:hyperlink>
      <w:r>
        <w:rPr>
          <w:color w:val="000000"/>
        </w:rPr>
        <w:t xml:space="preserve"> </w:t>
      </w:r>
      <w:r>
        <w:rPr>
          <w:rFonts w:ascii="Times New Roman;serif" w:hAnsi="Times New Roman;serif"/>
          <w:b w:val="false"/>
          <w:color w:val="000000"/>
          <w:sz w:val="20"/>
        </w:rPr>
        <w:t>for fair value disclosures of Piedmont's derivative instruments.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Fair Value Measurement of Financial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 considers its cash and cash equivalents, tenant receivables, restricted cash and escrows, accounts payable and accrued expenses, interest rate swap agreements, and debt to meet the definition of financial instruments. The following table sets forth the carrying and estimated fair value for each of Piedmont’s financial instruments, as well as its level within the GAAP fair value hierarchy, as of March 31, 2026 and December 31, 2025, respectively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53"/>
        <w:gridCol w:w="364"/>
        <w:gridCol w:w="367"/>
        <w:gridCol w:w="211"/>
        <w:gridCol w:w="991"/>
        <w:gridCol w:w="109"/>
        <w:gridCol w:w="109"/>
        <w:gridCol w:w="109"/>
        <w:gridCol w:w="109"/>
        <w:gridCol w:w="211"/>
        <w:gridCol w:w="991"/>
        <w:gridCol w:w="109"/>
        <w:gridCol w:w="109"/>
        <w:gridCol w:w="109"/>
        <w:gridCol w:w="109"/>
        <w:gridCol w:w="337"/>
        <w:gridCol w:w="337"/>
        <w:gridCol w:w="338"/>
        <w:gridCol w:w="109"/>
        <w:gridCol w:w="109"/>
        <w:gridCol w:w="109"/>
        <w:gridCol w:w="211"/>
        <w:gridCol w:w="976"/>
        <w:gridCol w:w="109"/>
        <w:gridCol w:w="109"/>
        <w:gridCol w:w="109"/>
        <w:gridCol w:w="109"/>
        <w:gridCol w:w="211"/>
        <w:gridCol w:w="976"/>
        <w:gridCol w:w="109"/>
        <w:gridCol w:w="109"/>
        <w:gridCol w:w="109"/>
        <w:gridCol w:w="109"/>
        <w:gridCol w:w="309"/>
        <w:gridCol w:w="309"/>
        <w:gridCol w:w="442"/>
      </w:tblGrid>
      <w:tr>
        <w:trPr/>
        <w:tc>
          <w:tcPr>
            <w:tcW w:w="5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Financial Instrument</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Within Fair Value Hierarchy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Estimated</w:t>
              <w:b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Within Fair Value Hierarchy</w:t>
            </w:r>
          </w:p>
        </w:tc>
      </w:tr>
      <w:tr>
        <w:trPr/>
        <w:tc>
          <w:tcPr>
            <w:tcW w:w="12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Assets:</w:t>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and cash equivalents </w:t>
            </w:r>
            <w:r>
              <w:rPr>
                <w:rFonts w:ascii="Times New Roman;serif" w:hAnsi="Times New Roman;serif"/>
                <w:b w:val="false"/>
                <w:color w:val="000000"/>
                <w:sz w:val="13"/>
              </w:rPr>
              <w:t>(1)</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Tenant receivables, net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6,907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128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128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and escrows </w:t>
            </w:r>
            <w:r>
              <w:rPr>
                <w:rFonts w:ascii="Times New Roman;serif" w:hAnsi="Times New Roman;serif"/>
                <w:b w:val="false"/>
                <w:color w:val="000000"/>
                <w:sz w:val="13"/>
              </w:rPr>
              <w:t>(1)</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4,056</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4,056</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1284"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Liabilities: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Accounts payable and accrued expenses </w:t>
            </w:r>
            <w:r>
              <w:rPr>
                <w:rFonts w:ascii="Times New Roman;serif" w:hAnsi="Times New Roman;serif"/>
                <w:b w:val="false"/>
                <w:color w:val="000000"/>
                <w:sz w:val="13"/>
              </w:rPr>
              <w:t>(1)</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11,791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11,791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26,692 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1</w:t>
            </w:r>
          </w:p>
        </w:tc>
      </w:tr>
      <w:tr>
        <w:trPr/>
        <w:tc>
          <w:tcPr>
            <w:tcW w:w="1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swaps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r>
      <w:tr>
        <w:trPr/>
        <w:tc>
          <w:tcPr>
            <w:tcW w:w="128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net</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2,252,351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2,240,418</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2,224,712 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2,262,389 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Level 2</w:t>
            </w:r>
          </w:p>
        </w:tc>
      </w:tr>
    </w:tbl>
    <w:p>
      <w:pPr>
        <w:pStyle w:val="TextBody"/>
        <w:bidi w:val="0"/>
        <w:spacing w:before="0" w:after="0"/>
        <w:jc w:val="left"/>
        <w:rPr/>
      </w:pPr>
      <w:r>
        <w:rPr/>
      </w:r>
    </w:p>
    <w:p>
      <w:pPr>
        <w:pStyle w:val="TextBody"/>
        <w:bidi w:val="0"/>
        <w:spacing w:lineRule="auto" w:line="288" w:before="0" w:after="0"/>
        <w:ind w:left="0" w:right="0" w:hanging="720"/>
        <w:jc w:val="left"/>
        <w:rPr/>
      </w:pPr>
      <w:r>
        <w:rPr>
          <w:rFonts w:ascii="Times New Roman;serif" w:hAnsi="Times New Roman;serif"/>
          <w:b w:val="false"/>
          <w:color w:val="000000"/>
          <w:sz w:val="12"/>
        </w:rPr>
        <w:t>(1)</w:t>
      </w:r>
      <w:r>
        <w:rPr>
          <w:rFonts w:ascii="Times New Roman;serif" w:hAnsi="Times New Roman;serif"/>
          <w:b w:val="false"/>
          <w:color w:val="000000"/>
          <w:sz w:val="18"/>
        </w:rPr>
        <w:t>For the periods presented, the carrying value of these financial instruments approximates estimated fair value due to their short-term maturity.</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Piedmont's debt was carried at book value as of March 31, 2026 and December 31, 2025; however, Piedmont's estimate of its fair value is disclosed in the table above. Piedmont uses widely accepted valuation techniques including discounted cash flow analysis based on the contractual terms of the debt facilities, including the period to maturity of each instrument, and uses observable market-based inputs for similar debt facilities which have transacted recently in the market. Therefore, the estimated fair values determined are considered to be based on significant other observable inputs (Level 2). Scaling adjustments are made to these inputs to make them applicable to the remaining life of Piedmont's outstanding debt. Piedmont has not changed its valuation technique for estimating the fair value of its debt.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Piedmont’s interest rate swap agreements presented above, and as further discussed in </w:t>
      </w:r>
      <w:hyperlink w:anchor="i818ebe5609f4435382271666666a7db1_55">
        <w:r>
          <w:rPr>
            <w:rStyle w:val="InternetLink"/>
          </w:rPr>
          <w:t>Note 4</w:t>
        </w:r>
      </w:hyperlink>
      <w:r>
        <w:rPr>
          <w:rFonts w:ascii="Times New Roman;serif" w:hAnsi="Times New Roman;serif"/>
          <w:b w:val="false"/>
          <w:color w:val="0000FF"/>
          <w:sz w:val="20"/>
          <w:u w:val="single"/>
        </w:rPr>
        <w:t>,</w:t>
      </w:r>
      <w:r>
        <w:rPr>
          <w:color w:val="000000"/>
        </w:rPr>
        <w:t xml:space="preserve"> </w:t>
      </w:r>
      <w:r>
        <w:rPr>
          <w:rFonts w:ascii="Times New Roman;serif" w:hAnsi="Times New Roman;serif"/>
          <w:b w:val="false"/>
          <w:color w:val="000000"/>
          <w:sz w:val="20"/>
        </w:rPr>
        <w:t>are classified as “Interest rate swaps” in the accompanying consolidated balance sheets and were carried at estimated fair value as of December 31, 2025. The valuation of these derivative instruments was determined using widely accepted valuation techniques including discounted cash flow analysis based on the contractual terms of the derivatives, including the period to maturity of each instrument, and uses observable market-based inputs, including interest rate curves and implied volatilities. Therefore, the estimated fair values determined are considered to be based on significant other observable inputs (Level 2). In addition, Piedmont considered both its own and the respective counterparties’ risk of nonperformance in determining the estimated fair value of its derivative financial instruments by estimating the current and potential future exposure under the derivative financial instruments as of the valuation date. The credit risk of Piedmont and its counterparties was factored into the calculation of the estimated fair value of the interest rate swaps; however, as of December 31, 2025, this credit valuation adjustment did not comprise a material portion of the estimated fair value. Therefore, Piedmont believes that any unobservable inputs used to determine the estimated fair values of its derivative financial instruments are not significant to the fair value measurements in their entirety, and does not consider any of its derivatives to be Level 3 financial instruments.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Goodwill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carrying amount of Piedmont’s goodwill allocated to each of its reportable segments in total and net of accumulated impairment charges, as of March 31, 2026 and December 31, 2025 was as follows (in thousands):</w:t>
      </w:r>
    </w:p>
    <w:p>
      <w:pPr>
        <w:pStyle w:val="TextBody"/>
        <w:bidi w:val="0"/>
        <w:spacing w:before="0" w:after="0"/>
        <w:jc w:val="both"/>
        <w:rPr/>
      </w:pPr>
      <w:r>
        <w:rPr/>
      </w:r>
    </w:p>
    <w:tbl>
      <w:tblPr>
        <w:tblW w:w="11758" w:type="dxa"/>
        <w:jc w:val="left"/>
        <w:tblInd w:w="0" w:type="dxa"/>
        <w:tblLayout w:type="fixed"/>
        <w:tblCellMar>
          <w:top w:w="28" w:type="dxa"/>
          <w:left w:w="28" w:type="dxa"/>
          <w:bottom w:w="28" w:type="dxa"/>
          <w:right w:w="28" w:type="dxa"/>
        </w:tblCellMar>
      </w:tblPr>
      <w:tblGrid>
        <w:gridCol w:w="499"/>
        <w:gridCol w:w="268"/>
        <w:gridCol w:w="269"/>
        <w:gridCol w:w="211"/>
        <w:gridCol w:w="736"/>
        <w:gridCol w:w="109"/>
        <w:gridCol w:w="109"/>
        <w:gridCol w:w="109"/>
        <w:gridCol w:w="109"/>
        <w:gridCol w:w="211"/>
        <w:gridCol w:w="736"/>
        <w:gridCol w:w="109"/>
        <w:gridCol w:w="109"/>
        <w:gridCol w:w="109"/>
        <w:gridCol w:w="109"/>
        <w:gridCol w:w="211"/>
        <w:gridCol w:w="73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36"/>
        <w:gridCol w:w="154"/>
      </w:tblGrid>
      <w:tr>
        <w:trPr/>
        <w:tc>
          <w:tcPr>
            <w:tcW w:w="4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Atlanta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Dallas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Orlando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Northern Virginia/</w:t>
              <w:br/>
              <w:t>Washington, D.C.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Minneapolis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Boston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December 31, 2025:</w:t>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98,918 </w:t>
            </w:r>
          </w:p>
        </w:tc>
        <w:tc>
          <w:tcPr>
            <w:tcW w:w="154" w:type="dxa"/>
            <w:tcBorders/>
            <w:shd w:fill="F8F4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impairment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5,585 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53,491 </w:t>
            </w:r>
          </w:p>
        </w:tc>
        <w:tc>
          <w:tcPr>
            <w:tcW w:w="1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2026 impairment charges</w:t>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8F4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as of March 31, 2026:</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18,563 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10,585 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98,918</w:t>
            </w:r>
            <w:r>
              <w:rPr>
                <w:color w:val="000000"/>
              </w:rPr>
              <w:t> </w:t>
            </w:r>
          </w:p>
        </w:tc>
        <w:tc>
          <w:tcPr>
            <w:tcW w:w="154" w:type="dxa"/>
            <w:tcBorders/>
            <w:shd w:fill="F8F4F1"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impairment charges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(45,427)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18,563</w:t>
            </w:r>
            <w:r>
              <w:rPr>
                <w:color w:val="000000"/>
              </w:rPr>
              <w:t> </w:t>
            </w:r>
          </w:p>
        </w:tc>
        <w:tc>
          <w:tcPr>
            <w:tcW w:w="10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18,525</w:t>
            </w:r>
            <w:r>
              <w:rPr>
                <w:color w:val="000000"/>
              </w:rPr>
              <w:t> </w:t>
            </w:r>
          </w:p>
        </w:tc>
        <w:tc>
          <w:tcPr>
            <w:tcW w:w="10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10,818</w:t>
            </w:r>
            <w:r>
              <w:rPr>
                <w:color w:val="000000"/>
              </w:rPr>
              <w:t> </w:t>
            </w:r>
          </w:p>
        </w:tc>
        <w:tc>
          <w:tcPr>
            <w:tcW w:w="10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5,585</w:t>
            </w:r>
            <w:r>
              <w:rPr>
                <w:color w:val="000000"/>
              </w:rPr>
              <w:t> </w:t>
            </w:r>
          </w:p>
        </w:tc>
        <w:tc>
          <w:tcPr>
            <w:tcW w:w="10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8F4F1"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53,491</w:t>
            </w:r>
            <w:r>
              <w:rPr>
                <w:color w:val="000000"/>
              </w:rPr>
              <w:t> </w:t>
            </w:r>
          </w:p>
        </w:tc>
        <w:tc>
          <w:tcPr>
            <w:tcW w:w="154"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Commitments and Contingencies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Commitments Under Existing Lease Agreements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a recurring part of its business, Piedmont is typically required under its executed lease agreements to fund tenant improvements, leasing commissions, and building improvements. In addition, certain agreements contain provisions that require Piedmont to issue corporate or property guarantees to provide funding for capital improvements or other financial obligations. As of March 31, 2026, Piedmont had no individually significant tenant allowance commitment greater than $10 million. These commitments will be capitalized as the related expenditures are incurred.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Contingencies Related to Tenant Audits/Disputes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Certain lease agreements include provisions that grant tenants the right to engage independent auditors to audit their annual operating expense reconciliations. Such audits may result in different interpretations of language in the lease agreements from that made by Piedmont, whic</w:t>
      </w:r>
      <w:r>
        <w:rPr>
          <w:rFonts w:ascii="Times New Roman;serif" w:hAnsi="Times New Roman;serif"/>
          <w:b w:val="false"/>
          <w:color w:val="000000"/>
          <w:sz w:val="20"/>
          <w:shd w:fill="FFFFFF" w:val="clear"/>
        </w:rPr>
        <w:t xml:space="preserve">h could result in requests for refunds of previously recognized tenant reimbursement revenues, resulting in financial loss to Piedmont. There were no such reductions during the three months ended March 31, 2026 or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Property Dispositions and Assets Held for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2025, Piedmont sold 161 Corporate Center in Irving, Texas to an unrelated, third-party buyer and recognized a gain on sale of approximately $0.1 million. Additionally, during the three months ended March 31, 2025, Piedmont recognized a gain on sale of real estate assets of $0.7 million related to the return of amounts held in escrow for the 750 West John Carpenter building sold in July 2024.</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of March 31, 2026, Piedmont was under a binding contract to sell a 10.6 acre land parcel (Royal Lane Land) in Dallas, Texas for approximately $12.0 million. Consequently, the land, which is assigned to the Dallas geographic reportable segment, met the criteria for held for sale classification as of March 31, 2026 and the assets are presented as held for sale as of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March 31, 2026 and December 31, 2025 for comparability in the accompanying consolidated balance sheets. Details of amounts held for sale are presented below (in thousands):</w:t>
      </w:r>
    </w:p>
    <w:p>
      <w:pPr>
        <w:pStyle w:val="TextBody"/>
        <w:bidi w:val="0"/>
        <w:spacing w:before="0" w:after="0"/>
        <w:jc w:val="both"/>
        <w:rPr/>
      </w:pPr>
      <w:r>
        <w:rPr/>
      </w:r>
    </w:p>
    <w:tbl>
      <w:tblPr>
        <w:tblW w:w="7656" w:type="dxa"/>
        <w:jc w:val="left"/>
        <w:tblInd w:w="0" w:type="dxa"/>
        <w:tblLayout w:type="fixed"/>
        <w:tblCellMar>
          <w:top w:w="28" w:type="dxa"/>
          <w:left w:w="28" w:type="dxa"/>
          <w:bottom w:w="28" w:type="dxa"/>
          <w:right w:w="28" w:type="dxa"/>
        </w:tblCellMar>
      </w:tblPr>
      <w:tblGrid>
        <w:gridCol w:w="1519"/>
        <w:gridCol w:w="1333"/>
        <w:gridCol w:w="1347"/>
        <w:gridCol w:w="109"/>
        <w:gridCol w:w="109"/>
        <w:gridCol w:w="109"/>
        <w:gridCol w:w="279"/>
        <w:gridCol w:w="836"/>
        <w:gridCol w:w="144"/>
        <w:gridCol w:w="109"/>
        <w:gridCol w:w="109"/>
        <w:gridCol w:w="109"/>
        <w:gridCol w:w="332"/>
        <w:gridCol w:w="970"/>
        <w:gridCol w:w="242"/>
      </w:tblGrid>
      <w:tr>
        <w:trPr/>
        <w:tc>
          <w:tcPr>
            <w:tcW w:w="1519"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1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assets held for sale,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2,628</w:t>
            </w:r>
            <w:r>
              <w:rPr>
                <w:color w:val="000000"/>
              </w:rPr>
              <w:t> </w:t>
            </w:r>
          </w:p>
        </w:tc>
        <w:tc>
          <w:tcPr>
            <w:tcW w:w="14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2,628 </w:t>
            </w:r>
          </w:p>
        </w:tc>
        <w:tc>
          <w:tcPr>
            <w:tcW w:w="24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209</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Total real estate assets held for sale, net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2,837</w:t>
            </w:r>
            <w:r>
              <w:rPr>
                <w:color w:val="000000"/>
              </w:rPr>
              <w:t> </w:t>
            </w:r>
          </w:p>
        </w:tc>
        <w:tc>
          <w:tcPr>
            <w:tcW w:w="144"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2,837 </w:t>
            </w:r>
          </w:p>
        </w:tc>
        <w:tc>
          <w:tcPr>
            <w:tcW w:w="242"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1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Stock Based Compensation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Annually, the Compensation Committee of Piedmont's Board of Directors has granted deferred stock award units to certain employees at its discretion. Employee awards typically vest ratably over four years. In addition, Piedmont's independent directors receive an annual grant of deferred stock award units for services rendered and such awards vest over a one-year service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management employees' long-term equity incentive program is allocated between the deferred stock award units described above and a multi-year performance share program whereby actual awards are contingent upon Piedmont's total stockholder return ("TSR") performance relative to the TSR of a peer group of office REITs. The target incentives for these employees, as well as the peer group to be used for comparative purposes, are predetermined by the board of directors, based on advice given by a third-party compensation consultant. The number of shares earned, if any, are determined at the end of the multi-year performance period (or upon termination) and vest immediately. In the event that a participant's employment is terminated prior to the end of the multi-year period, in certain circumstances the participant may be entitled to a pro-rated award based on Piedmont's TSR relative performance as of the termination date. The grant date fair value of the multi-year performance share awards is estimated using the Monte Carlo valuation method and is recognized ratably over the performance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roll forward of Piedmont's equity based award activity for the three months ended March 31, 2026 is as follows: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035"/>
        <w:gridCol w:w="1779"/>
        <w:gridCol w:w="1790"/>
        <w:gridCol w:w="488"/>
        <w:gridCol w:w="488"/>
        <w:gridCol w:w="196"/>
        <w:gridCol w:w="109"/>
        <w:gridCol w:w="109"/>
        <w:gridCol w:w="109"/>
        <w:gridCol w:w="666"/>
        <w:gridCol w:w="1945"/>
        <w:gridCol w:w="491"/>
      </w:tblGrid>
      <w:tr>
        <w:trPr/>
        <w:tc>
          <w:tcPr>
            <w:tcW w:w="2035"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945"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Weighted-Average Grant Date Fair Value</w:t>
            </w:r>
          </w:p>
        </w:tc>
      </w:tr>
      <w:tr>
        <w:trPr/>
        <w:tc>
          <w:tcPr>
            <w:tcW w:w="560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Unvested and Potential Stock Awards as of December 31, 2025</w:t>
            </w:r>
          </w:p>
        </w:tc>
        <w:tc>
          <w:tcPr>
            <w:tcW w:w="976"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3,953,854 </w:t>
            </w:r>
          </w:p>
        </w:tc>
        <w:tc>
          <w:tcPr>
            <w:tcW w:w="19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49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Stock Awards 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468,034 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604"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Awards Granted</w:t>
            </w:r>
          </w:p>
        </w:tc>
        <w:tc>
          <w:tcPr>
            <w:tcW w:w="97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528,963 </w:t>
            </w:r>
          </w:p>
        </w:tc>
        <w:tc>
          <w:tcPr>
            <w:tcW w:w="19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49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Estimated Potential Share Awards based on TSR Performance</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(602,314)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Performance Stock Awards Vested</w:t>
            </w:r>
          </w:p>
        </w:tc>
        <w:tc>
          <w:tcPr>
            <w:tcW w:w="97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(471,324)</w:t>
            </w:r>
          </w:p>
        </w:tc>
        <w:tc>
          <w:tcPr>
            <w:tcW w:w="19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12.37 </w:t>
            </w:r>
          </w:p>
        </w:tc>
        <w:tc>
          <w:tcPr>
            <w:tcW w:w="49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Deferred Stock Awards 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(387,484)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8.56 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4" w:type="dxa"/>
            <w:gridSpan w:val="3"/>
            <w:tcBorders/>
            <w:vAlign w:val="center"/>
          </w:tcPr>
          <w:p>
            <w:pPr>
              <w:pStyle w:val="TableContents"/>
              <w:bidi w:val="0"/>
              <w:spacing w:before="0" w:after="283"/>
              <w:jc w:val="left"/>
              <w:rPr>
                <w:sz w:val="4"/>
                <w:szCs w:val="4"/>
              </w:rPr>
            </w:pPr>
            <w:r>
              <w:rPr>
                <w:sz w:val="4"/>
                <w:szCs w:val="4"/>
              </w:rPr>
            </w:r>
          </w:p>
        </w:tc>
        <w:tc>
          <w:tcPr>
            <w:tcW w:w="11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2" w:type="dxa"/>
            <w:gridSpan w:val="3"/>
            <w:tcBorders/>
            <w:vAlign w:val="center"/>
          </w:tcPr>
          <w:p>
            <w:pPr>
              <w:pStyle w:val="TableContents"/>
              <w:bidi w:val="0"/>
              <w:spacing w:before="0" w:after="283"/>
              <w:jc w:val="left"/>
              <w:rPr>
                <w:sz w:val="4"/>
                <w:szCs w:val="4"/>
              </w:rPr>
            </w:pPr>
            <w:r>
              <w:rPr>
                <w:sz w:val="4"/>
                <w:szCs w:val="4"/>
              </w:rPr>
            </w:r>
          </w:p>
        </w:tc>
      </w:tr>
      <w:tr>
        <w:trPr/>
        <w:tc>
          <w:tcPr>
            <w:tcW w:w="5604"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Unvested and Potential Stock Awards as of March 31, 2026</w:t>
            </w:r>
          </w:p>
        </w:tc>
        <w:tc>
          <w:tcPr>
            <w:tcW w:w="976" w:type="dxa"/>
            <w:gridSpan w:val="2"/>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3,489,729 </w:t>
            </w:r>
          </w:p>
        </w:tc>
        <w:tc>
          <w:tcPr>
            <w:tcW w:w="19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945"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49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regarding stock award activity during the three months ended March 31, 2026 and 2025, respectively (in thousands, except per share amounts):</w:t>
      </w:r>
    </w:p>
    <w:p>
      <w:pPr>
        <w:pStyle w:val="TextBody"/>
        <w:bidi w:val="0"/>
        <w:spacing w:before="0" w:after="0"/>
        <w:jc w:val="both"/>
        <w:rPr/>
      </w:pPr>
      <w:r>
        <w:rPr/>
      </w:r>
    </w:p>
    <w:tbl>
      <w:tblPr>
        <w:tblW w:w="10205" w:type="dxa"/>
        <w:jc w:val="center"/>
        <w:tblInd w:w="0" w:type="dxa"/>
        <w:tblLayout w:type="fixed"/>
        <w:tblCellMar>
          <w:top w:w="28" w:type="dxa"/>
          <w:left w:w="28" w:type="dxa"/>
          <w:bottom w:w="28" w:type="dxa"/>
          <w:right w:w="28" w:type="dxa"/>
        </w:tblCellMar>
      </w:tblPr>
      <w:tblGrid>
        <w:gridCol w:w="2581"/>
        <w:gridCol w:w="2267"/>
        <w:gridCol w:w="2276"/>
        <w:gridCol w:w="109"/>
        <w:gridCol w:w="109"/>
        <w:gridCol w:w="144"/>
        <w:gridCol w:w="144"/>
        <w:gridCol w:w="280"/>
        <w:gridCol w:w="839"/>
        <w:gridCol w:w="144"/>
        <w:gridCol w:w="109"/>
        <w:gridCol w:w="109"/>
        <w:gridCol w:w="109"/>
        <w:gridCol w:w="211"/>
        <w:gridCol w:w="616"/>
        <w:gridCol w:w="158"/>
      </w:tblGrid>
      <w:tr>
        <w:trPr/>
        <w:tc>
          <w:tcPr>
            <w:tcW w:w="2581"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312" w:type="dxa"/>
            <w:gridSpan w:val="6"/>
            <w:tcBorders/>
          </w:tcPr>
          <w:p>
            <w:pPr>
              <w:pStyle w:val="TableContents"/>
              <w:bidi w:val="0"/>
              <w:spacing w:before="0" w:after="283"/>
              <w:jc w:val="left"/>
              <w:rPr>
                <w:sz w:val="4"/>
                <w:szCs w:val="4"/>
              </w:rPr>
            </w:pPr>
            <w:r>
              <w:rPr>
                <w:sz w:val="4"/>
                <w:szCs w:val="4"/>
              </w:rPr>
            </w:r>
          </w:p>
        </w:tc>
      </w:tr>
      <w:tr>
        <w:trPr/>
        <w:tc>
          <w:tcPr>
            <w:tcW w:w="7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7124"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Weighted-Average Grant Date Fair Value per share of Deferred Stock Granted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8.20</w:t>
            </w:r>
            <w:r>
              <w:rPr>
                <w:color w:val="000000"/>
              </w:rPr>
              <w:t> </w:t>
            </w:r>
          </w:p>
        </w:tc>
        <w:tc>
          <w:tcPr>
            <w:tcW w:w="14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8.50 </w:t>
            </w:r>
          </w:p>
        </w:tc>
        <w:tc>
          <w:tcPr>
            <w:tcW w:w="158"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Total Grant Date Fair Value of Deferred Stock Vested During the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3,318</w:t>
            </w: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 detail of Piedmont’s outstanding stock awards and programs as of March 31, 2026 is as follows:</w:t>
      </w:r>
    </w:p>
    <w:p>
      <w:pPr>
        <w:pStyle w:val="TextBody"/>
        <w:bidi w:val="0"/>
        <w:spacing w:before="0" w:after="0"/>
        <w:ind w:left="0" w:right="0" w:hanging="720"/>
        <w:jc w:val="left"/>
        <w:rPr/>
      </w:pPr>
      <w:r>
        <w:rPr/>
      </w:r>
    </w:p>
    <w:tbl>
      <w:tblPr>
        <w:tblW w:w="10205" w:type="dxa"/>
        <w:jc w:val="left"/>
        <w:tblInd w:w="0" w:type="dxa"/>
        <w:tblLayout w:type="fixed"/>
        <w:tblCellMar>
          <w:top w:w="28" w:type="dxa"/>
          <w:left w:w="28" w:type="dxa"/>
          <w:bottom w:w="28" w:type="dxa"/>
          <w:right w:w="28" w:type="dxa"/>
        </w:tblCellMar>
      </w:tblPr>
      <w:tblGrid>
        <w:gridCol w:w="428"/>
        <w:gridCol w:w="307"/>
        <w:gridCol w:w="222"/>
        <w:gridCol w:w="109"/>
        <w:gridCol w:w="109"/>
        <w:gridCol w:w="109"/>
        <w:gridCol w:w="766"/>
        <w:gridCol w:w="417"/>
        <w:gridCol w:w="346"/>
        <w:gridCol w:w="109"/>
        <w:gridCol w:w="109"/>
        <w:gridCol w:w="109"/>
        <w:gridCol w:w="413"/>
        <w:gridCol w:w="413"/>
        <w:gridCol w:w="251"/>
        <w:gridCol w:w="109"/>
        <w:gridCol w:w="109"/>
        <w:gridCol w:w="109"/>
        <w:gridCol w:w="211"/>
        <w:gridCol w:w="616"/>
        <w:gridCol w:w="109"/>
        <w:gridCol w:w="109"/>
        <w:gridCol w:w="109"/>
        <w:gridCol w:w="109"/>
        <w:gridCol w:w="1049"/>
        <w:gridCol w:w="618"/>
        <w:gridCol w:w="621"/>
        <w:gridCol w:w="109"/>
        <w:gridCol w:w="109"/>
        <w:gridCol w:w="109"/>
        <w:gridCol w:w="488"/>
        <w:gridCol w:w="488"/>
        <w:gridCol w:w="431"/>
        <w:gridCol w:w="109"/>
        <w:gridCol w:w="109"/>
        <w:gridCol w:w="158"/>
      </w:tblGrid>
      <w:tr>
        <w:trPr/>
        <w:tc>
          <w:tcPr>
            <w:tcW w:w="42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Date of grant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Type of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Shares</w:t>
            </w:r>
          </w:p>
          <w:p>
            <w:pPr>
              <w:pStyle w:val="TableContents"/>
              <w:bidi w:val="0"/>
              <w:spacing w:lineRule="auto" w:line="240" w:before="0" w:after="0"/>
              <w:jc w:val="center"/>
              <w:rPr/>
            </w:pPr>
            <w:r>
              <w:rPr>
                <w:rFonts w:ascii="Times New Roman;serif" w:hAnsi="Times New Roman;serif"/>
                <w:b/>
                <w:color w:val="000000"/>
                <w:sz w:val="16"/>
              </w:rPr>
              <w:t xml:space="preserve">Granted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Grant</w:t>
              <w:br/>
              <w:t>Date 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Vesting Schedule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Unvested Shares</w:t>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23, 2023</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284,234 </w:t>
            </w:r>
          </w:p>
        </w:tc>
        <w:tc>
          <w:tcPr>
            <w:tcW w:w="25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25% will vest on February 23, 2024, 2025, 2026, and 2027, respectively.</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80,729 </w:t>
            </w:r>
          </w:p>
        </w:tc>
        <w:tc>
          <w:tcPr>
            <w:tcW w:w="43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2024-2026 Performance Share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awarded, if any, will vest immediately upon determination of award in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984,084 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419,055 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25% will vest on February 20, 2025, 2026, 2027, and 2028, respectively.</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234,267 </w:t>
            </w:r>
          </w:p>
        </w:tc>
        <w:tc>
          <w:tcPr>
            <w:tcW w:w="43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60,606 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25% will vest on October 1, 2025, 2026, 2027, and 2028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45,455 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28, 2024</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322,101 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100% will vest on October 28, 2029.</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322,101 </w:t>
            </w:r>
          </w:p>
        </w:tc>
        <w:tc>
          <w:tcPr>
            <w:tcW w:w="43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3,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389,110 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25% will vest on February 3, 2026, 2027, 2028, and 2029, respectively.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317,327 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3, 2025</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2025-2027 Performance Share Program</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awarded, if any, will vest immediately upon determination of award in 2028.</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585,183 </w:t>
            </w:r>
          </w:p>
        </w:tc>
        <w:tc>
          <w:tcPr>
            <w:tcW w:w="43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(2)</w:t>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Award-Board of Directors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121,736 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100% will vest on the earlier of the 2026 Annual Meeting or May 15,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121,736 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17, 2026</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Stock Award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468,034 </w:t>
            </w:r>
          </w:p>
        </w:tc>
        <w:tc>
          <w:tcPr>
            <w:tcW w:w="25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8.20 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Of the shares granted, 25% will vest on February 17, 2027, 2028, 2029, and 2030, respectively.</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468,034 </w:t>
            </w:r>
          </w:p>
        </w:tc>
        <w:tc>
          <w:tcPr>
            <w:tcW w:w="43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2026-2028 Performance Share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awarded, if any, will vest immediately upon determination of award in 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330,813 </w:t>
            </w:r>
          </w:p>
        </w:tc>
        <w:tc>
          <w:tcPr>
            <w:tcW w:w="4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7"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3,489,729 </w:t>
            </w:r>
          </w:p>
        </w:tc>
        <w:tc>
          <w:tcPr>
            <w:tcW w:w="43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pStyle w:val="TextBody"/>
        <w:bidi w:val="0"/>
        <w:spacing w:lineRule="auto" w:line="288" w:before="60" w:after="6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Amounts reflect the total original grant to employees and independent directors, net of shares surrendered upon vesting to satisfy required minimum tax withholding obligations through March 31, 2026.</w:t>
      </w:r>
    </w:p>
    <w:p>
      <w:pPr>
        <w:pStyle w:val="TextBody"/>
        <w:bidi w:val="0"/>
        <w:spacing w:lineRule="auto" w:line="288" w:before="60" w:after="60"/>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Estimated based on Piedmont's cumulative TSR for the respective performance period through March 31, 2026. Share estimates are subject to change in future periods based upon Piedmont's relative TSR performance compared to its peer group of office REITs.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both the three months ended March 31, 2026 and 2025, Piedmont recognized approximately $2.2 million of compensation expense related to the amortization of unvested and potential stock awards. During the three months ended March 31, 2026, 499,725 shares (net of shares surrendered upon vesting to satisfy required minimum tax withholding obligations) were issued to employees and independent directors. As of March 31, 2026, approximately $20.5 million of unrecognized compensation cost related to unvested and potential stock awards remained, which Piedmont will record in its consolidated statements of operations over a weighted-average vesting period of approximately two years.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Supplemental Disclosures for the Statement of Consolidated Cash Flows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Certain non-cash investing and financing activities for the three months ended March 31, 2026 and 2025 (in thousands) are outlined below:</w:t>
      </w:r>
    </w:p>
    <w:tbl>
      <w:tblPr>
        <w:tblW w:w="8109" w:type="dxa"/>
        <w:jc w:val="left"/>
        <w:tblInd w:w="0" w:type="dxa"/>
        <w:tblLayout w:type="fixed"/>
        <w:tblCellMar>
          <w:top w:w="28" w:type="dxa"/>
          <w:left w:w="28" w:type="dxa"/>
          <w:bottom w:w="28" w:type="dxa"/>
          <w:right w:w="28" w:type="dxa"/>
        </w:tblCellMar>
      </w:tblPr>
      <w:tblGrid>
        <w:gridCol w:w="2015"/>
        <w:gridCol w:w="1770"/>
        <w:gridCol w:w="1780"/>
        <w:gridCol w:w="211"/>
        <w:gridCol w:w="736"/>
        <w:gridCol w:w="109"/>
        <w:gridCol w:w="109"/>
        <w:gridCol w:w="109"/>
        <w:gridCol w:w="109"/>
        <w:gridCol w:w="211"/>
        <w:gridCol w:w="796"/>
        <w:gridCol w:w="154"/>
      </w:tblGrid>
      <w:tr>
        <w:trPr/>
        <w:tc>
          <w:tcPr>
            <w:tcW w:w="2015" w:type="dxa"/>
            <w:tcBorders/>
            <w:vAlign w:val="center"/>
          </w:tcPr>
          <w:p>
            <w:pPr>
              <w:pStyle w:val="TableContents"/>
              <w:bidi w:val="0"/>
              <w:spacing w:before="0" w:after="283"/>
              <w:jc w:val="left"/>
              <w:rPr>
                <w:sz w:val="4"/>
                <w:szCs w:val="4"/>
              </w:rPr>
            </w:pPr>
            <w:r>
              <w:rPr>
                <w:sz w:val="4"/>
                <w:szCs w:val="4"/>
              </w:rPr>
            </w:r>
          </w:p>
        </w:tc>
        <w:tc>
          <w:tcPr>
            <w:tcW w:w="1770"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556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Tenant improvements funded by tenants</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5,700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Changes in accrued capital expenditures and deferred lease costs </w:t>
            </w:r>
            <w:r>
              <w:rPr>
                <w:rFonts w:ascii="Times New Roman;serif" w:hAnsi="Times New Roman;serif"/>
                <w:b w:val="false"/>
                <w:color w:val="000000"/>
                <w:sz w:val="13"/>
              </w:rPr>
              <w:t>(1)</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19,053</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23,817 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Change in accrued dividends</w:t>
            </w:r>
          </w:p>
        </w:tc>
        <w:tc>
          <w:tcPr>
            <w:tcW w:w="211" w:type="dxa"/>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(15,298)</w:t>
            </w:r>
          </w:p>
        </w:tc>
        <w:tc>
          <w:tcPr>
            <w:tcW w:w="154" w:type="dxa"/>
            <w:tcBorders>
              <w:top w:val="doub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accrued deferred financing costs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w:t>
            </w: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Accrued capital expenditures and deferred lease costs included in accounts payable, accrued expenses, and accrued capital expenditures as of March 31, 2026 and 2025 were approximately $30.4 million, and $31.9 million,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and escrows as presented in the accompanying consolidated statements of cash flows for the three months ended March 31, 2026 and 2025, to the consolidated balance sheets for the respective period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741"/>
        <w:gridCol w:w="2330"/>
        <w:gridCol w:w="2337"/>
        <w:gridCol w:w="109"/>
        <w:gridCol w:w="109"/>
        <w:gridCol w:w="109"/>
        <w:gridCol w:w="211"/>
        <w:gridCol w:w="631"/>
        <w:gridCol w:w="109"/>
        <w:gridCol w:w="109"/>
        <w:gridCol w:w="109"/>
        <w:gridCol w:w="109"/>
        <w:gridCol w:w="211"/>
        <w:gridCol w:w="826"/>
        <w:gridCol w:w="155"/>
      </w:tblGrid>
      <w:tr>
        <w:trPr/>
        <w:tc>
          <w:tcPr>
            <w:tcW w:w="2741"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0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731</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109,637 </w:t>
            </w:r>
          </w:p>
        </w:tc>
        <w:tc>
          <w:tcPr>
            <w:tcW w:w="155"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escrows,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0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and escrows as presented in the accompanying consolidated statement of cash flows, beginning of period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3,791</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113,882 </w:t>
            </w:r>
          </w:p>
        </w:tc>
        <w:tc>
          <w:tcPr>
            <w:tcW w:w="155"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2,911 </w:t>
            </w:r>
          </w:p>
        </w:tc>
        <w:tc>
          <w:tcPr>
            <w:tcW w:w="15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escrows,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74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408"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and escrows as presented in the accompanying consolidated statement of cash flows, end of period</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6,335</w:t>
            </w:r>
            <w:r>
              <w:rPr>
                <w:color w:val="000000"/>
              </w:rPr>
              <w:t> </w:t>
            </w:r>
          </w:p>
        </w:tc>
        <w:tc>
          <w:tcPr>
            <w:tcW w:w="109"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6,634 </w:t>
            </w:r>
          </w:p>
        </w:tc>
        <w:tc>
          <w:tcPr>
            <w:tcW w:w="155"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Amounts in restricted cash and escrows typically represent: escrow accounts required for future property repairs; escrow accounts for the payment of real estate taxes as required under certain of Piedmont's debt agreements; earnest money deposited by a buyer to secure the purchase of one of Piedmont's properties; or security or utility deposits held for tenants as a condition of their lease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Earnings Per Share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Piedmont recognized a net loss for both the three months ended March 31, 2026 and 2025, earnings per share is computed using basic weighted-average common shares outstanding.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Segment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Piedmont's President and Chief Executive Officer has been identified as Piedmont's chief operating decision maker (the "CODM"), as defined by GAAP. The CODM evaluates Piedmont's portfolio and assesses the ongoing operations and performance of its projects utilizing the following geographic segments: Atlanta, Dallas, Orlando, Northern Virginia/Washington, D.C., Minneapolis, New York, and Boston. These seven operating segments are also Piedmont’s reportable segments. As of March 31, 2026, Piedmont also owned two projects in Houston that do not meet the definition of an operating or reportable segment as the CODM does not regularly review these properties for purposes of allocating resources or assessing performance. Further, Piedmont does not maintain a significant presence nor anticipate further investment in this market. These two projects are the primary contributors to accrual-based net operating income ("NOI") included in "Other" below. During the periods presented, there have been no material inter-segment transactions. The accounting policies of the reportable segments are the same as Piedmont's accounting policies.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NOI by geographic segment is the primary performance measure reviewed by Piedmont's CODM to assess operating performance and consists only of revenues and expenses directly related to real estate rental operations. NOI is calculated by deducting property operating costs and other segment items from lease revenues and other property related income. Other segment items consist primarily of allocated costs and salaries, which are recognized at the respective properties and eliminated in the preparation of consolidated financial statements. NOI reflects property acquisitions and dispositions, occupancy levels, rental rate increases or decreases, and the recoverability of operating expenses. Piedmont's calculation of NOI may not be directly comparable to similarly titled measures calculated by other REITs.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Asset value information and capital expenditures by segment are not reported because the CODM does not use these measures to assess performance.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accrual-based revenues, property operating costs, and other segment items included in NOI by geographic reportable segment for the three months ended March 31, 2026 and 2025 (in thousands):</w:t>
      </w:r>
    </w:p>
    <w:p>
      <w:pPr>
        <w:pStyle w:val="TextBody"/>
        <w:bidi w:val="0"/>
        <w:spacing w:before="0" w:after="0"/>
        <w:jc w:val="both"/>
        <w:rPr/>
      </w:pPr>
      <w:r>
        <w:rPr/>
      </w:r>
    </w:p>
    <w:tbl>
      <w:tblPr>
        <w:tblW w:w="10142" w:type="dxa"/>
        <w:jc w:val="left"/>
        <w:tblInd w:w="0" w:type="dxa"/>
        <w:tblLayout w:type="fixed"/>
        <w:tblCellMar>
          <w:top w:w="28" w:type="dxa"/>
          <w:left w:w="28" w:type="dxa"/>
          <w:bottom w:w="28" w:type="dxa"/>
          <w:right w:w="28" w:type="dxa"/>
        </w:tblCellMar>
      </w:tblPr>
      <w:tblGrid>
        <w:gridCol w:w="1104"/>
        <w:gridCol w:w="971"/>
        <w:gridCol w:w="985"/>
        <w:gridCol w:w="220"/>
        <w:gridCol w:w="880"/>
        <w:gridCol w:w="114"/>
        <w:gridCol w:w="109"/>
        <w:gridCol w:w="109"/>
        <w:gridCol w:w="109"/>
        <w:gridCol w:w="398"/>
        <w:gridCol w:w="1391"/>
        <w:gridCol w:w="206"/>
        <w:gridCol w:w="109"/>
        <w:gridCol w:w="109"/>
        <w:gridCol w:w="109"/>
        <w:gridCol w:w="430"/>
        <w:gridCol w:w="982"/>
        <w:gridCol w:w="222"/>
        <w:gridCol w:w="109"/>
        <w:gridCol w:w="109"/>
        <w:gridCol w:w="109"/>
        <w:gridCol w:w="211"/>
        <w:gridCol w:w="736"/>
        <w:gridCol w:w="311"/>
      </w:tblGrid>
      <w:tr>
        <w:trPr/>
        <w:tc>
          <w:tcPr>
            <w:tcW w:w="11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2"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March 31, 2026</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Segment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NOI</w:t>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220"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46,772</w:t>
            </w:r>
            <w:r>
              <w:rPr>
                <w:color w:val="000000"/>
              </w:rPr>
              <w:t> </w:t>
            </w:r>
          </w:p>
        </w:tc>
        <w:tc>
          <w:tcPr>
            <w:tcW w:w="11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15,855</w:t>
            </w:r>
            <w:r>
              <w:rPr>
                <w:color w:val="000000"/>
              </w:rPr>
              <w:t> </w:t>
            </w:r>
          </w:p>
        </w:tc>
        <w:tc>
          <w:tcPr>
            <w:tcW w:w="20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2"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514</w:t>
            </w:r>
            <w:r>
              <w:rPr>
                <w:color w:val="000000"/>
              </w:rPr>
              <w:t> </w:t>
            </w:r>
          </w:p>
        </w:tc>
        <w:tc>
          <w:tcPr>
            <w:tcW w:w="222"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31,431</w:t>
            </w:r>
            <w:r>
              <w:rPr>
                <w:color w:val="000000"/>
              </w:rPr>
              <w:t> </w:t>
            </w:r>
          </w:p>
        </w:tc>
        <w:tc>
          <w:tcPr>
            <w:tcW w:w="31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24,609</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11,017</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w:t>
            </w: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13,708</w:t>
            </w: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w:t>
            </w:r>
          </w:p>
        </w:tc>
        <w:tc>
          <w:tcPr>
            <w:tcW w:w="110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18,688</w:t>
            </w:r>
            <w:r>
              <w:rPr>
                <w:color w:val="000000"/>
              </w:rPr>
              <w:t> </w:t>
            </w:r>
          </w:p>
        </w:tc>
        <w:tc>
          <w:tcPr>
            <w:tcW w:w="11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6,737</w:t>
            </w:r>
            <w:r>
              <w:rPr>
                <w:color w:val="000000"/>
              </w:rPr>
              <w:t> </w:t>
            </w:r>
          </w:p>
        </w:tc>
        <w:tc>
          <w:tcPr>
            <w:tcW w:w="20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w:t>
            </w:r>
            <w:r>
              <w:rPr>
                <w:color w:val="000000"/>
              </w:rPr>
              <w:t>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12,002</w:t>
            </w:r>
            <w:r>
              <w:rPr>
                <w:color w:val="000000"/>
              </w:rPr>
              <w:t>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Virginia/Washington, D.C.</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13,306</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6,306</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w:t>
            </w: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7,165</w:t>
            </w: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Minneapolis</w:t>
            </w:r>
          </w:p>
        </w:tc>
        <w:tc>
          <w:tcPr>
            <w:tcW w:w="110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10,213</w:t>
            </w:r>
            <w:r>
              <w:rPr>
                <w:color w:val="000000"/>
              </w:rPr>
              <w:t> </w:t>
            </w:r>
          </w:p>
        </w:tc>
        <w:tc>
          <w:tcPr>
            <w:tcW w:w="11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5,752</w:t>
            </w:r>
            <w:r>
              <w:rPr>
                <w:color w:val="000000"/>
              </w:rPr>
              <w:t> </w:t>
            </w:r>
          </w:p>
        </w:tc>
        <w:tc>
          <w:tcPr>
            <w:tcW w:w="20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w:t>
            </w:r>
            <w:r>
              <w:rPr>
                <w:color w:val="000000"/>
              </w:rPr>
              <w:t>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4,671</w:t>
            </w:r>
            <w:r>
              <w:rPr>
                <w:color w:val="000000"/>
              </w:rPr>
              <w:t>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14,764</w:t>
            </w: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6,997</w:t>
            </w: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w:t>
            </w: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7,786</w:t>
            </w:r>
            <w:r>
              <w:rPr>
                <w:color w:val="000000"/>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1100"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9,872</w:t>
            </w:r>
            <w:r>
              <w:rPr>
                <w:color w:val="000000"/>
              </w:rPr>
              <w:t> </w:t>
            </w:r>
          </w:p>
        </w:tc>
        <w:tc>
          <w:tcPr>
            <w:tcW w:w="11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3,775</w:t>
            </w:r>
            <w:r>
              <w:rPr>
                <w:color w:val="000000"/>
              </w:rPr>
              <w:t> </w:t>
            </w:r>
          </w:p>
        </w:tc>
        <w:tc>
          <w:tcPr>
            <w:tcW w:w="20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222"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6,109</w:t>
            </w:r>
            <w:r>
              <w:rPr>
                <w:color w:val="000000"/>
              </w:rPr>
              <w:t> </w:t>
            </w:r>
          </w:p>
        </w:tc>
        <w:tc>
          <w:tcPr>
            <w:tcW w:w="311" w:type="dxa"/>
            <w:tcBorders/>
            <w:shd w:fill="F8F4F1"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138,224</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56,439</w:t>
            </w:r>
            <w:r>
              <w:rPr>
                <w:color w:val="000000"/>
              </w:rPr>
              <w:t>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1,087</w:t>
            </w:r>
            <w:r>
              <w:rPr>
                <w:color w:val="000000"/>
              </w:rPr>
              <w:t>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82,872</w:t>
            </w: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00"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5,070</w:t>
            </w:r>
            <w:r>
              <w:rPr>
                <w:color w:val="000000"/>
              </w:rPr>
              <w:t> </w:t>
            </w:r>
          </w:p>
        </w:tc>
        <w:tc>
          <w:tcPr>
            <w:tcW w:w="11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867</w:t>
            </w:r>
            <w:r>
              <w:rPr>
                <w:color w:val="000000"/>
              </w:rPr>
              <w:t> </w:t>
            </w:r>
          </w:p>
        </w:tc>
        <w:tc>
          <w:tcPr>
            <w:tcW w:w="20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(1,138)</w:t>
            </w:r>
          </w:p>
        </w:tc>
        <w:tc>
          <w:tcPr>
            <w:tcW w:w="222"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3,065</w:t>
            </w:r>
            <w:r>
              <w:rPr>
                <w:color w:val="000000"/>
              </w:rPr>
              <w:t> </w:t>
            </w:r>
          </w:p>
        </w:tc>
        <w:tc>
          <w:tcPr>
            <w:tcW w:w="31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Totals</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143,294</w:t>
            </w: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3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57,306</w:t>
            </w:r>
            <w:r>
              <w:rPr>
                <w:color w:val="000000"/>
              </w:rPr>
              <w:t>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85,937</w:t>
            </w:r>
            <w:r>
              <w:rPr>
                <w:color w:val="000000"/>
              </w:rPr>
              <w:t>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126" w:type="dxa"/>
        <w:jc w:val="left"/>
        <w:tblInd w:w="0" w:type="dxa"/>
        <w:tblLayout w:type="fixed"/>
        <w:tblCellMar>
          <w:top w:w="28" w:type="dxa"/>
          <w:left w:w="28" w:type="dxa"/>
          <w:bottom w:w="28" w:type="dxa"/>
          <w:right w:w="28" w:type="dxa"/>
        </w:tblCellMar>
      </w:tblPr>
      <w:tblGrid>
        <w:gridCol w:w="1104"/>
        <w:gridCol w:w="971"/>
        <w:gridCol w:w="985"/>
        <w:gridCol w:w="223"/>
        <w:gridCol w:w="876"/>
        <w:gridCol w:w="115"/>
        <w:gridCol w:w="109"/>
        <w:gridCol w:w="109"/>
        <w:gridCol w:w="109"/>
        <w:gridCol w:w="404"/>
        <w:gridCol w:w="1382"/>
        <w:gridCol w:w="208"/>
        <w:gridCol w:w="109"/>
        <w:gridCol w:w="109"/>
        <w:gridCol w:w="109"/>
        <w:gridCol w:w="439"/>
        <w:gridCol w:w="969"/>
        <w:gridCol w:w="226"/>
        <w:gridCol w:w="109"/>
        <w:gridCol w:w="109"/>
        <w:gridCol w:w="109"/>
        <w:gridCol w:w="211"/>
        <w:gridCol w:w="721"/>
        <w:gridCol w:w="311"/>
      </w:tblGrid>
      <w:tr>
        <w:trPr/>
        <w:tc>
          <w:tcPr>
            <w:tcW w:w="11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March 31, 2025</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Property Operating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Segment Items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NOI</w:t>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223"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44,742 </w:t>
            </w:r>
          </w:p>
        </w:tc>
        <w:tc>
          <w:tcPr>
            <w:tcW w:w="115"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16,413 </w:t>
            </w:r>
          </w:p>
        </w:tc>
        <w:tc>
          <w:tcPr>
            <w:tcW w:w="208"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22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28,811 </w:t>
            </w:r>
          </w:p>
        </w:tc>
        <w:tc>
          <w:tcPr>
            <w:tcW w:w="31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w:t>
            </w:r>
          </w:p>
        </w:tc>
        <w:tc>
          <w:tcPr>
            <w:tcW w:w="109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15,738 </w:t>
            </w:r>
          </w:p>
        </w:tc>
        <w:tc>
          <w:tcPr>
            <w:tcW w:w="11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6,576 </w:t>
            </w:r>
          </w:p>
        </w:tc>
        <w:tc>
          <w:tcPr>
            <w:tcW w:w="20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Virginia/Washington, D.C.</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13,545 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Minneapolis</w:t>
            </w:r>
          </w:p>
        </w:tc>
        <w:tc>
          <w:tcPr>
            <w:tcW w:w="109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10,808 </w:t>
            </w:r>
          </w:p>
        </w:tc>
        <w:tc>
          <w:tcPr>
            <w:tcW w:w="11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4,977 </w:t>
            </w:r>
          </w:p>
        </w:tc>
        <w:tc>
          <w:tcPr>
            <w:tcW w:w="20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1099"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11,446 </w:t>
            </w:r>
          </w:p>
        </w:tc>
        <w:tc>
          <w:tcPr>
            <w:tcW w:w="115"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4,520 </w:t>
            </w:r>
          </w:p>
        </w:tc>
        <w:tc>
          <w:tcPr>
            <w:tcW w:w="208"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6,938 </w:t>
            </w:r>
          </w:p>
        </w:tc>
        <w:tc>
          <w:tcPr>
            <w:tcW w:w="311" w:type="dxa"/>
            <w:tcBorders/>
            <w:shd w:fill="F8F4F1"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137,714 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57,044 </w:t>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81,668 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9"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4,972 </w:t>
            </w:r>
          </w:p>
        </w:tc>
        <w:tc>
          <w:tcPr>
            <w:tcW w:w="115"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870 </w:t>
            </w:r>
          </w:p>
        </w:tc>
        <w:tc>
          <w:tcPr>
            <w:tcW w:w="208"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w:t>
            </w:r>
          </w:p>
        </w:tc>
        <w:tc>
          <w:tcPr>
            <w:tcW w:w="22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31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Totals</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142,686 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57,914 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84,816 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 reconciliation of Net loss applicable to Piedmont to NOI is presented below (in thousands):</w:t>
      </w:r>
    </w:p>
    <w:p>
      <w:pPr>
        <w:pStyle w:val="TextBody"/>
        <w:bidi w:val="0"/>
        <w:spacing w:before="0" w:after="0"/>
        <w:jc w:val="both"/>
        <w:rPr/>
      </w:pPr>
      <w:r>
        <w:rPr/>
      </w:r>
    </w:p>
    <w:tbl>
      <w:tblPr>
        <w:tblW w:w="7547" w:type="dxa"/>
        <w:jc w:val="left"/>
        <w:tblInd w:w="0" w:type="dxa"/>
        <w:tblLayout w:type="fixed"/>
        <w:tblCellMar>
          <w:top w:w="28" w:type="dxa"/>
          <w:left w:w="28" w:type="dxa"/>
          <w:bottom w:w="28" w:type="dxa"/>
          <w:right w:w="28" w:type="dxa"/>
        </w:tblCellMar>
      </w:tblPr>
      <w:tblGrid>
        <w:gridCol w:w="1477"/>
        <w:gridCol w:w="1297"/>
        <w:gridCol w:w="1305"/>
        <w:gridCol w:w="109"/>
        <w:gridCol w:w="109"/>
        <w:gridCol w:w="131"/>
        <w:gridCol w:w="131"/>
        <w:gridCol w:w="254"/>
        <w:gridCol w:w="958"/>
        <w:gridCol w:w="131"/>
        <w:gridCol w:w="109"/>
        <w:gridCol w:w="109"/>
        <w:gridCol w:w="109"/>
        <w:gridCol w:w="211"/>
        <w:gridCol w:w="796"/>
        <w:gridCol w:w="311"/>
      </w:tblGrid>
      <w:tr>
        <w:trPr/>
        <w:tc>
          <w:tcPr>
            <w:tcW w:w="147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645" w:type="dxa"/>
            <w:gridSpan w:val="6"/>
            <w:tcBorders/>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applicable to Piedmont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8"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(12,920)</w:t>
            </w:r>
          </w:p>
        </w:tc>
        <w:tc>
          <w:tcPr>
            <w:tcW w:w="13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311"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Management fee revenue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59,290</w:t>
            </w:r>
            <w:r>
              <w:rPr>
                <w:color w:val="000000"/>
              </w:rPr>
              <w:t> </w:t>
            </w:r>
          </w:p>
        </w:tc>
        <w:tc>
          <w:tcPr>
            <w:tcW w:w="13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56,315 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8"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7,909</w:t>
            </w: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31,929</w:t>
            </w:r>
            <w:r>
              <w:rPr>
                <w:color w:val="000000"/>
              </w:rPr>
              <w:t> </w:t>
            </w:r>
          </w:p>
        </w:tc>
        <w:tc>
          <w:tcPr>
            <w:tcW w:w="13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31,677 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1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applicable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3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311" w:type="dxa"/>
            <w:tcBorders/>
            <w:shd w:fill="F8F4F1"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85,937</w:t>
            </w:r>
            <w:r>
              <w:rPr>
                <w:color w:val="000000"/>
              </w:rPr>
              <w:t>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84,816 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Presented net of related operating expenses incurred to earn such management fee revenue. Such operating expenses are a component of property operating costs in the accompanying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discussion and analysis should be read in conjunction with the accompanying consolidated financial statements and notes thereto of Piedmont Realty Trust, Inc. (“Piedmont,” "we," "our," or "us"). See also “Cautionary Note Regarding Forward-Looking Statements” preceding Part I, as well as the consolidated financial statements and accompanying notes thereto and Management’s Discussion and Analysis of Financial Condition and Results of Operations included in our Annual Report on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intend to use cash on hand, cash flows generated from the operation of our properties, net proceeds from the disposition of select properties, and borrowings under our $600 Million Unsecured 2022 Line of Credit as our primary sources of immediate liquidity. As of March 31, 2026, we had $526 million of borrowing capacity available under our $600 Million Unsecured 2022 Line of Credit and no required debt maturities until 2028. Consequently, we believe that we have sufficient liquidity to meet our obligations for the foreseeable future; however, as part of our overall debt management strategy, we may seek other new secured or unsecured borrowings from third-party lenders or issue other debt or equity securities as additional sources of capital. The nature and timing of these additional sources of capital will be highly dependent upon market conditions.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most consistent use of capital has historically been, and we believe will continue to be, to fund capital expenditures for our existing portfolio of projects. During the three months ended March 31, 2026 and 2025 we incurred the following types of capital expenditures (in thousands):</w:t>
      </w:r>
    </w:p>
    <w:p>
      <w:pPr>
        <w:pStyle w:val="TextBody"/>
        <w:bidi w:val="0"/>
        <w:spacing w:before="0" w:after="0"/>
        <w:jc w:val="both"/>
        <w:rPr/>
      </w:pPr>
      <w:r>
        <w:rPr/>
      </w:r>
    </w:p>
    <w:tbl>
      <w:tblPr>
        <w:tblW w:w="8890" w:type="dxa"/>
        <w:jc w:val="center"/>
        <w:tblInd w:w="0" w:type="dxa"/>
        <w:tblLayout w:type="fixed"/>
        <w:tblCellMar>
          <w:top w:w="28" w:type="dxa"/>
          <w:left w:w="28" w:type="dxa"/>
          <w:bottom w:w="28" w:type="dxa"/>
          <w:right w:w="28" w:type="dxa"/>
        </w:tblCellMar>
      </w:tblPr>
      <w:tblGrid>
        <w:gridCol w:w="2175"/>
        <w:gridCol w:w="1908"/>
        <w:gridCol w:w="1916"/>
        <w:gridCol w:w="251"/>
        <w:gridCol w:w="878"/>
        <w:gridCol w:w="130"/>
        <w:gridCol w:w="109"/>
        <w:gridCol w:w="109"/>
        <w:gridCol w:w="109"/>
        <w:gridCol w:w="253"/>
        <w:gridCol w:w="867"/>
        <w:gridCol w:w="185"/>
      </w:tblGrid>
      <w:tr>
        <w:trPr/>
        <w:tc>
          <w:tcPr>
            <w:tcW w:w="2175"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5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for redevelopment/renovations</w:t>
            </w:r>
          </w:p>
        </w:tc>
        <w:tc>
          <w:tcPr>
            <w:tcW w:w="25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7,959</w:t>
            </w:r>
            <w:r>
              <w:rPr>
                <w:color w:val="000000"/>
              </w:rPr>
              <w:t> </w:t>
            </w:r>
          </w:p>
        </w:tc>
        <w:tc>
          <w:tcPr>
            <w:tcW w:w="130"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20,140 </w:t>
            </w:r>
          </w:p>
        </w:tc>
        <w:tc>
          <w:tcPr>
            <w:tcW w:w="185"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5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capital expenditures, including building and tenant improvements</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30,318</w:t>
            </w: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capital expenditures </w:t>
            </w:r>
            <w:r>
              <w:rPr>
                <w:rFonts w:ascii="Times New Roman;serif" w:hAnsi="Times New Roman;serif"/>
                <w:b w:val="false"/>
                <w:color w:val="000000"/>
                <w:sz w:val="13"/>
              </w:rPr>
              <w:t>(1)</w:t>
            </w:r>
          </w:p>
        </w:tc>
        <w:tc>
          <w:tcPr>
            <w:tcW w:w="251"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78"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38,277</w:t>
            </w:r>
            <w:r>
              <w:rPr>
                <w:color w:val="000000"/>
              </w:rPr>
              <w:t> </w:t>
            </w:r>
          </w:p>
        </w:tc>
        <w:tc>
          <w:tcPr>
            <w:tcW w:w="130"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39,629 </w:t>
            </w:r>
          </w:p>
        </w:tc>
        <w:tc>
          <w:tcPr>
            <w:tcW w:w="185" w:type="dxa"/>
            <w:tcBorders>
              <w:top w:val="single" w:sz="8" w:space="0" w:color="000000"/>
              <w:bottom w:val="double" w:sz="8" w:space="0" w:color="000000"/>
            </w:tcBorders>
            <w:shd w:fill="F8F4F1"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99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hanging="720"/>
        <w:jc w:val="left"/>
        <w:rPr/>
      </w:pPr>
      <w:r>
        <w:rPr>
          <w:rFonts w:ascii="Times New Roman;serif" w:hAnsi="Times New Roman;serif"/>
          <w:b w:val="false"/>
          <w:color w:val="000000"/>
          <w:sz w:val="12"/>
        </w:rPr>
        <w:t>(1)</w:t>
      </w:r>
      <w:r>
        <w:rPr>
          <w:rFonts w:ascii="Times New Roman;serif" w:hAnsi="Times New Roman;serif"/>
          <w:b w:val="false"/>
          <w:color w:val="000000"/>
          <w:sz w:val="18"/>
        </w:rPr>
        <w:t>Of the total amounts paid, approximately $2.4 million and $5.5 million relates to soft costs such as capitalized interest, payroll, and other property operating costs for the three months ended March 31, 2026 and 2025, respectively.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"Capital expenditures for redevelopment/renovations" during the three months ended March 31, 2026 and </w:t>
      </w:r>
      <w:r>
        <w:rPr>
          <w:rFonts w:ascii="Times New Roman;serif" w:hAnsi="Times New Roman;serif"/>
          <w:b w:val="false"/>
          <w:color w:val="000000"/>
          <w:sz w:val="18"/>
        </w:rPr>
        <w:t>2025</w:t>
      </w:r>
      <w:r>
        <w:rPr>
          <w:color w:val="000000"/>
        </w:rPr>
        <w:t xml:space="preserve"> </w:t>
      </w:r>
      <w:r>
        <w:rPr>
          <w:rFonts w:ascii="Times New Roman;serif" w:hAnsi="Times New Roman;serif"/>
          <w:b w:val="false"/>
          <w:color w:val="000000"/>
          <w:sz w:val="20"/>
        </w:rPr>
        <w:t>related to building upgrades, primarily to the lobbies and the addition of tenant amenities at certain of our buildings and assets under redevelopment.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"Other capital expenditures, including building and tenant improvements" noted above includes all other capital expenditures during the period and are typically comprised of tenant and building improvements necessary to lease, maintain, or provide enhancements, including energy efficient equipment, to our existing portfolio of office projects.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Given that our operating model frequently results in leases for multiple blocks of space to credit-worthy tenants, our leasing success can result in capital outlays which vary from one reporting period to another based upon the specific leases executed. For leases executed during the three months ended March 31, 2026, we committed to spend approximately $5.18 per square foot per year of lease term for tenant improvement allowances and lease commissions (net of expired lease commitments) as compared to $6.69 (net of expired lease commitments) for the three months ended March 31, 2025. As of March 31, 2026, we had no individually significant unrecorded tenant allowance commitment greater than $10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amounts that we have already committed to as a part of executed leases, we also anticipate continuing to incur similar market-based tenant improvement allowances and leasing commissions in conjunction with procuring future leases for our existing portfolio of properties. Both the timing and magnitude of expenditures related to future leasing activity can vary due to a number of factors and are highly dependent on the size of the leased square footage, length of the lease term, and the competitive market conditions of the particular office market at the time a lease is being negotiated, in addition to the impact of inflation and rising costs of construction.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reducing outstanding debt remains our priority, subject to the identification and availability of select investment opportunities and our ability to consummate such acquisitions on satisfactory terms, acquiring new assets consistent with our investment strategy could also be a significant use of capital. Additionally, we may use capital to repay debt when we deem it prudent to refinance or reduce various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Finally, although we did not declare or pay dividends on our common stock during the three months ended March 31, 2026, we may also use capital resources to pay dividends to our stockholders. The amount and form of payment (cash or stock issuance) of future dividends, if any, to be paid to our stockholders will continue to be largely dependent upon (i) the amount of cash generated from our operating activities; (ii) our expectations of future cash flows; (iii) our determination of near-term cash needs for debt repayments, development projects, and selective acquisitions of new properties; (iv) the timing of significant expenditures for tenant improvements, leasing commissions, building redevelopment projects, and general property improvements; (v) long-term dividend payout ratios for comparable companies; (vi) our ability to continue to access additional sources of capital, including potential sales of our properties; (vii) our desire to reduce overall leverage; and (viii) the amount required to be distributed to maintain our status as a REIT. With the fluctuating nature of cash flows and expenditures, we may periodically borrow funds on a short-term basis to cover timing differences in cash receipts and cash disbursements, including to pay dividends to our stockholders.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loss applicable to common stockholders for the three months ended March 31, 2026 was approximately $12.9 million, or $0.10 per diluted share, as compared with net loss applicable to common stockholders of $10.1 million, or $0.08 per diluted share, for the three months ended March 31, 2025. The primary driver of the increase in net loss was higher depreciation expense as building and tenant improvements across our portfolio have been placed into service subsequent to January 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Comparison of the Three Months Ended March 31, 2026 Versus the Three Months Ended March 31, 2025</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selected data from our consolidated statements of operations for the three months ended March 31, 2026 and 2025, respectively, as well as each balance as a percentage of total revenues for each period presented (dollars in millions):</w:t>
      </w:r>
    </w:p>
    <w:p>
      <w:pPr>
        <w:pStyle w:val="TextBody"/>
        <w:bidi w:val="0"/>
        <w:spacing w:before="0" w:after="0"/>
        <w:jc w:val="both"/>
        <w:rPr/>
      </w:pPr>
      <w:r>
        <w:rPr/>
      </w:r>
    </w:p>
    <w:tbl>
      <w:tblPr>
        <w:tblW w:w="9906" w:type="dxa"/>
        <w:jc w:val="center"/>
        <w:tblInd w:w="0" w:type="dxa"/>
        <w:tblLayout w:type="fixed"/>
        <w:tblCellMar>
          <w:top w:w="28" w:type="dxa"/>
          <w:left w:w="28" w:type="dxa"/>
          <w:bottom w:w="28" w:type="dxa"/>
          <w:right w:w="28" w:type="dxa"/>
        </w:tblCellMar>
      </w:tblPr>
      <w:tblGrid>
        <w:gridCol w:w="1262"/>
        <w:gridCol w:w="1111"/>
        <w:gridCol w:w="1122"/>
        <w:gridCol w:w="211"/>
        <w:gridCol w:w="631"/>
        <w:gridCol w:w="109"/>
        <w:gridCol w:w="109"/>
        <w:gridCol w:w="109"/>
        <w:gridCol w:w="109"/>
        <w:gridCol w:w="264"/>
        <w:gridCol w:w="264"/>
        <w:gridCol w:w="657"/>
        <w:gridCol w:w="109"/>
        <w:gridCol w:w="109"/>
        <w:gridCol w:w="109"/>
        <w:gridCol w:w="211"/>
        <w:gridCol w:w="616"/>
        <w:gridCol w:w="109"/>
        <w:gridCol w:w="109"/>
        <w:gridCol w:w="109"/>
        <w:gridCol w:w="109"/>
        <w:gridCol w:w="264"/>
        <w:gridCol w:w="264"/>
        <w:gridCol w:w="657"/>
        <w:gridCol w:w="109"/>
        <w:gridCol w:w="109"/>
        <w:gridCol w:w="109"/>
        <w:gridCol w:w="211"/>
        <w:gridCol w:w="481"/>
        <w:gridCol w:w="154"/>
      </w:tblGrid>
      <w:tr>
        <w:trPr/>
        <w:tc>
          <w:tcPr>
            <w:tcW w:w="126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Rental and tenant reimbursement revenue</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136.4</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136.1 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management fee revenue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property related income</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Expense:</w:t>
            </w:r>
          </w:p>
        </w:tc>
        <w:tc>
          <w:tcPr>
            <w:tcW w:w="95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operating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 (expense):</w:t>
            </w:r>
          </w:p>
        </w:tc>
        <w:tc>
          <w:tcPr>
            <w:tcW w:w="95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0.2</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assets</w:t>
            </w:r>
          </w:p>
        </w:tc>
        <w:tc>
          <w:tcPr>
            <w:tcW w:w="84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657"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6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Rental and tenant reimbursement revenue increased approximately $0.3 million for the three months ended March 31, 2026 as compared to the same period in the prior year. The increase was primarily due to the roll-up of rental rates and new leases commencing during the twelve months ended March 31, 2026. The impact of this increase was partially offset by the disposition of two projects sold subsequent to January 1,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Expense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operating costs decreased approximately $0.6 million for the three months ended March 31, 2026 as compared to the same period in the prior year. The variance was primarily due to reduced property tax expense due to lower tax assessments and successful appeals, as well as project dispositions subsequent to January 1, 2025 (as discussed above). The impact of these decreases is partially offset by an increase in other recoverable property operating costs such as utilities, repairs and maintenance, landscaping and security due to increased occupancy and utilization of our projects during the current period, as compared to the prior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Depreciation expense increased approximately $3.1 million for the three months ended March 31, 2026 as compared to the same period in the prior year. The increase was primarily due to additional building and tenant improvements placed in service subsequent to January 1, 2025, which were partially offset by project dispositions during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Amortization expense decreased approximately $0.1 million for the three months ended March 31, 2026 as compared to the same period in the prior year. The decrease in amortization expense is associated with certain lease intangible assets at our existing projects becoming fully amortized subsequent to January 1, 2025. The decrease was largely offset by an increase in amortization expense associated with deferred lease acquisition costs associated with increased new leasing activity during the twelve months ended March 31,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increased approximately $0.3 million for the three months ended March 31, 2026 compared to the prior year primarily reflecting increased personnel costs.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Other Income (Expense)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increased approximately $0.2 million for the three months ended March 31, 2026 as compared to the same period in the prior year primarily driven by a decrease in capitalized interest, offset by lower interest rates in the current period, as compared to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loss on early extinguishment of debt in the prior period was due to the write-off of unamortized debt issuance costs associated with refinancing activity during the three months ended March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Gain on sale of real estate assets during the three months ended March 31, 2025 primarily consists of the gain recognized on the sale of the 161 Corporate Center project in Irving, Texas, as well as recognition of the return of amounts held in escrow for the 750 West John Carpenter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Issuer and Guarantor Financial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Piedmont, through its wholly-owned subsidiary Piedmont OP, had five separate issuances totaling approximately $1.7 billion of senior unsecured notes payable outstanding that mature in 2028, 2029, 2030, 2032 and 2033 (see Note 3 to our accompanying consolidated financial statements for additional details regarding each of these issuances) (collectively, the "Notes"). The Notes are senior unsecured obligations of Piedmont OP, rank equally in right of payment with all of Piedmont OP's other existing and future senior unsecured indebtedness, and would be effectively subordinated in right of payment to any of Piedmont OP’s future mortgage or other secured indebtedness (to the extent of the value of the collateral securing such indebtedness) and to all existing and future indebtedness and other liabilities of Piedmont OP’s subsidiaries, whether secured or unsecured.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Notes are fully and unconditionally guaranteed by Piedmont, the parent entity that consolidates Piedmont OP and all other subsidiaries. In particular, Piedmont guarantees to each holder of the Notes that the principal and interest on the Notes will be paid in full when due, whether at the maturity dates of the respective loans, or upon acceleration, upon redemption, or otherwise; interest on overdue principal and interest on any overdue interest, if any, on the Notes will also be paid in full when due; and all other obligations of Piedmont OP to the holders of the Notes will be promptly paid in full. Piedmont's guarantee of the Notes is its senior unsecured obligation and ranks equally in right of payment with all of Piedmont's other existing and future senior unsecured indebtedness and guarantees. Piedmont’s guarantee of the Notes is effectively subordinated in right of payment to any future mortgage or other secured indebtedness or secured guarantees of Piedmont (to the extent of the value of the collateral securing such indebtedness and guarantees); and all existing and future indebtedness and other liabilities, whether secured or unsecured, of Piedmont’s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event of the bankruptcy, liquidation, reorganization or other winding up of Piedmont OP or Piedmont, assets that secure any of their respective secured indebtedness and other secured obligations will be available to pay their respective obligations under the Notes or the guarantee, as applicable, and their other respective unsecured indebtedness and other unsecured obligations only after all of their respective indebtedness and other obligations secured by those assets have been repaid in full.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All non-guarantor subsidiaries are separate and distinct legal entities and have no obligation, contingent or otherwise, to pay any amounts due pursuant to the Notes, or to make any funds available therefore, whether by dividends, loans, distributions or other payments.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Rule 13-01 of Regulation S-X, Guarantors and Issuers of Guaranteed Securities Registered or Being Registered, the following tables present summarized financial information for Piedmont OP as issuer and Piedmont as guarantor on a combined basis after elimination of (i) intercompany transactions and balances among Piedmont OP and Piedmont and (ii) equity in earnings from and investments in any subsidiary that is a non-guarantor (in thousands):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210"/>
        <w:gridCol w:w="1875"/>
        <w:gridCol w:w="1886"/>
        <w:gridCol w:w="211"/>
        <w:gridCol w:w="991"/>
        <w:gridCol w:w="109"/>
        <w:gridCol w:w="109"/>
        <w:gridCol w:w="109"/>
        <w:gridCol w:w="109"/>
        <w:gridCol w:w="407"/>
        <w:gridCol w:w="1889"/>
        <w:gridCol w:w="300"/>
      </w:tblGrid>
      <w:tr>
        <w:trPr/>
        <w:tc>
          <w:tcPr>
            <w:tcW w:w="2210"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5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Combined Balances of Piedmont OP and Piedmont Realty Trust, Inc. as Issuer and Guarantor, respectively</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16"/>
              </w:rPr>
              <w:t>December 31, 2025</w:t>
            </w:r>
          </w:p>
        </w:tc>
      </w:tr>
      <w:tr>
        <w:trPr/>
        <w:tc>
          <w:tcPr>
            <w:tcW w:w="5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from non-guarantor subsidiary</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900</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30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236,902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240,324 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2,102,941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89"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2,085,214 </w:t>
            </w:r>
          </w:p>
        </w:tc>
        <w:tc>
          <w:tcPr>
            <w:tcW w:w="300"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For the Three Months Ended March 31, 2026</w:t>
            </w:r>
          </w:p>
        </w:tc>
      </w:tr>
      <w:tr>
        <w:trPr/>
        <w:tc>
          <w:tcPr>
            <w:tcW w:w="597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31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89"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11,683</w:t>
            </w:r>
            <w:r>
              <w:rPr>
                <w:color w:val="000000"/>
              </w:rPr>
              <w:t> </w:t>
            </w:r>
          </w:p>
        </w:tc>
        <w:tc>
          <w:tcPr>
            <w:tcW w:w="300"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3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8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(29,463)</w:t>
            </w:r>
          </w:p>
        </w:tc>
        <w:tc>
          <w:tcPr>
            <w:tcW w:w="3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Net Operating Income by Geographic Segment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Our President and Chief Executive Officer is our CODM, who evaluates our portfolio and assesses the ongoing operations and performance of our projects utilizing the following geographic segments: Atlanta, Dallas, Orlando, Northern Virginia/Washington, D.C., Minneapolis, New York, and Boston. These operating segments are also our reportable segments. Additionally, as of March 31, 2026, we owned two properties in Houston that did not meet the definition of an operating or reportable segment as the CODM does not regularly review these properties for purposes of allocating resources or assessing performance, and we do not maintain a significant presence or anticipate further investment in this market. These two properties are included in "Other" below. See </w:t>
      </w:r>
      <w:hyperlink w:anchor="i818ebe5609f4435382271666666a7db1_94">
        <w:r>
          <w:rPr>
            <w:rStyle w:val="InternetLink"/>
            <w:rFonts w:ascii="Times New Roman;serif" w:hAnsi="Times New Roman;serif"/>
            <w:b w:val="false"/>
            <w:color w:val="0000FF"/>
            <w:sz w:val="20"/>
            <w:u w:val="single"/>
          </w:rPr>
          <w:t>Note 12</w:t>
        </w:r>
      </w:hyperlink>
      <w:r>
        <w:rPr>
          <w:color w:val="000000"/>
        </w:rPr>
        <w:t xml:space="preserve"> </w:t>
      </w:r>
      <w:r>
        <w:rPr>
          <w:rFonts w:ascii="Times New Roman;serif" w:hAnsi="Times New Roman;serif"/>
          <w:b w:val="false"/>
          <w:color w:val="000000"/>
          <w:sz w:val="20"/>
        </w:rPr>
        <w:t>to the accompanying consolidated financial statements for additional information and a reconciliation of Net loss applicable to Piedmont to NOI.</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NOI by geographic segment (in thousands):</w:t>
      </w:r>
    </w:p>
    <w:p>
      <w:pPr>
        <w:pStyle w:val="TextBody"/>
        <w:bidi w:val="0"/>
        <w:spacing w:before="0" w:after="0"/>
        <w:jc w:val="left"/>
        <w:rPr/>
      </w:pPr>
      <w:r>
        <w:rPr/>
      </w:r>
    </w:p>
    <w:tbl>
      <w:tblPr>
        <w:tblW w:w="6512" w:type="dxa"/>
        <w:jc w:val="left"/>
        <w:tblInd w:w="0" w:type="dxa"/>
        <w:tblLayout w:type="fixed"/>
        <w:tblCellMar>
          <w:top w:w="28" w:type="dxa"/>
          <w:left w:w="28" w:type="dxa"/>
          <w:bottom w:w="28" w:type="dxa"/>
          <w:right w:w="28" w:type="dxa"/>
        </w:tblCellMar>
      </w:tblPr>
      <w:tblGrid>
        <w:gridCol w:w="1104"/>
        <w:gridCol w:w="971"/>
        <w:gridCol w:w="985"/>
        <w:gridCol w:w="109"/>
        <w:gridCol w:w="109"/>
        <w:gridCol w:w="137"/>
        <w:gridCol w:w="137"/>
        <w:gridCol w:w="265"/>
        <w:gridCol w:w="927"/>
        <w:gridCol w:w="137"/>
        <w:gridCol w:w="109"/>
        <w:gridCol w:w="109"/>
        <w:gridCol w:w="109"/>
        <w:gridCol w:w="221"/>
        <w:gridCol w:w="757"/>
        <w:gridCol w:w="326"/>
      </w:tblGrid>
      <w:tr>
        <w:trPr/>
        <w:tc>
          <w:tcPr>
            <w:tcW w:w="110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1631" w:type="dxa"/>
            <w:gridSpan w:val="6"/>
            <w:tcBorders/>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Atlanta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7"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31,431</w:t>
            </w:r>
            <w:r>
              <w:rPr>
                <w:color w:val="000000"/>
              </w:rPr>
              <w:t> </w:t>
            </w:r>
          </w:p>
        </w:tc>
        <w:tc>
          <w:tcPr>
            <w:tcW w:w="137"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28,811 </w:t>
            </w:r>
          </w:p>
        </w:tc>
        <w:tc>
          <w:tcPr>
            <w:tcW w:w="32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Dallas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13,708</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Orlando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12,002</w:t>
            </w:r>
            <w:r>
              <w:rPr>
                <w:color w:val="000000"/>
              </w:rPr>
              <w:t> </w:t>
            </w:r>
          </w:p>
        </w:tc>
        <w:tc>
          <w:tcPr>
            <w:tcW w:w="13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9,212 </w:t>
            </w:r>
          </w:p>
        </w:tc>
        <w:tc>
          <w:tcPr>
            <w:tcW w:w="3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Northern Virginia/Washington, D.C.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7,165</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7,241 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Minneapolis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4,671</w:t>
            </w:r>
            <w:r>
              <w:rPr>
                <w:color w:val="000000"/>
              </w:rPr>
              <w:t> </w:t>
            </w:r>
          </w:p>
        </w:tc>
        <w:tc>
          <w:tcPr>
            <w:tcW w:w="13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5,993 </w:t>
            </w:r>
          </w:p>
        </w:tc>
        <w:tc>
          <w:tcPr>
            <w:tcW w:w="326"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7,786</w:t>
            </w: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Boston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92"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6,109</w:t>
            </w:r>
            <w:r>
              <w:rPr>
                <w:color w:val="000000"/>
              </w:rPr>
              <w:t> </w:t>
            </w:r>
          </w:p>
        </w:tc>
        <w:tc>
          <w:tcPr>
            <w:tcW w:w="137"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6,938 </w:t>
            </w:r>
          </w:p>
        </w:tc>
        <w:tc>
          <w:tcPr>
            <w:tcW w:w="326" w:type="dxa"/>
            <w:tcBorders/>
            <w:shd w:fill="F8F4F1"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reportable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82,872</w:t>
            </w:r>
            <w:r>
              <w:rPr>
                <w:color w:val="000000"/>
              </w:rPr>
              <w:t>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81,668 </w:t>
            </w:r>
          </w:p>
        </w:tc>
        <w:tc>
          <w:tcPr>
            <w:tcW w:w="3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3,065</w:t>
            </w:r>
            <w:r>
              <w:rPr>
                <w:color w:val="000000"/>
              </w:rPr>
              <w:t> </w:t>
            </w:r>
          </w:p>
        </w:tc>
        <w:tc>
          <w:tcPr>
            <w:tcW w:w="137"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3,148 </w:t>
            </w:r>
          </w:p>
        </w:tc>
        <w:tc>
          <w:tcPr>
            <w:tcW w:w="326"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NOI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85,937</w:t>
            </w:r>
            <w:r>
              <w:rPr>
                <w:color w:val="000000"/>
              </w:rPr>
              <w:t>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84,816 </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Comparison of the Three Months Ended March 31, 2026 Versus the Three Months Ended March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Atlanta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NOI increased due to new leases commencing and/or current tenants expanding at our 1155 Perimeter Center West and Galleria on the Park projects during the three months ended March 31, 2026 as compared to the same period in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Dallas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NOI decreased primarily due to decreased occupancy at our Galleria Towers project, partially offset by several new tenant starts during the three months ended March 31, 2026 as compared to the same period in the prior year.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Orlando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NOI increased primarily due to several leases commencing at 501 West Church and 200 South Orange at The Exchange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Funds From Operations ("FFO"), Core Funds From Operations ("Core FFO"), and Adjusted Funds From Operations </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(“AFFO”)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loss calculated in accordance with GAAP is the starting point for calculating FFO, Core FFO, and AFFO. These metrics are non-GAAP financial measures and should not be viewed as an alternative measurement of our operating performance to net loss. Management believes that accounting for real estate assets in accordance with GAAP implicitly assumes that the value of real estate assets diminishes predictably over time. Since real estate values have historically risen or fallen with market conditions, many industry investors and analysts have considered the presentation of operating results for real estate companies that use historical cost accounting alone to be insufficient. As a result, we believe that the additive use of FFO, Core FFO, and AFFO, together with the required GAAP presentation, provides a more complete understanding of our performance relative to our competitors and a more informed and appropriate basis on which to make decisions involving operating, financing, and 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calculate FFO in accordance with the current National Association of Real Estate Investment Trusts ("NAREIT") definition. NAREIT currently defines FFO as Net loss (calculated in accordance with GAAP), excluding depreciation and amortization related to real estate, gains and losses from the sale of certain real estate assets, gains and losses from change in control, and impairment write-downs of certain real estate assets, goodwill, and investment in entities when the impairment is directly attributable to decreases in the value of depreciable real estate held by the entity, along with appropriate adjustments to those reconciling items for joint ventures, if any. Other REITs may not define FFO in accordance with the NAREIT definition, or may interpret the current NAREIT definition differently than we do; therefore, our computation of FFO may not be comparable to the computation made by other REITs.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calculate Core FFO by starting with FFO, as defined by NAREIT, and adjusting for gains or losses on the early extinguishment of debt and any significant non-recurring or infrequent items. Core FFO is a non-GAAP financial measure and should not be viewed as an alternative to net loss calculated in accordance with GAAP as a measurement of our operating performance. We believe that Core FFO is helpful to investors as a supplemental performance measure because it excludes the effects of certain infrequent or non-recurring items which can create significant earnings volatility, but which do not directly relate to our core recurring business operations. As a result, we believe that Core FFO can help facilitate comparisons of operating performance between periods and provides a more meaningful predictor of future earnings potential. Other REITs may not define Core FFO in the same manner as us; therefore, our computation of Core FFO may not be comparable to the computation made by other REITs.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calculate AFFO by starting with Core FFO and adjusting for non-incremental capital expenditures and then adding back certain non-cash items including: non-real estate depreciation, straight-lined rents and fair value lease adjustments, non-cash components of interest expense and compensation expense, and by making similar adjustments for joint ventures, if any. AFFO is a non-GAAP financial measure and should not be viewed as an alternative to net loss calculated in accordance with GAAP as a measurement of our operating performance. We believe that AFFO is helpful to investors as a meaningful supplemental comparative performance measure of our ability to make incremental capital investments in new properties or enhancements to existing properties that improve revenue growth potential. Other REITs may not define AFFO in the same manner as us; therefore, our computation of AFFO may not be comparable to the computation of other REITs.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Reconciliations of net loss applicable to common stock to FFO, Core FFO, and AFFO for the three months ended March 31, 2026 and 2025 are presented below (in thousands except per share amounts):</w:t>
      </w:r>
    </w:p>
    <w:p>
      <w:pPr>
        <w:pStyle w:val="TextBody"/>
        <w:bidi w:val="0"/>
        <w:spacing w:before="0" w:after="0"/>
        <w:jc w:val="both"/>
        <w:rPr/>
      </w:pPr>
      <w:r>
        <w:rPr/>
      </w:r>
    </w:p>
    <w:tbl>
      <w:tblPr>
        <w:tblW w:w="9147" w:type="dxa"/>
        <w:jc w:val="center"/>
        <w:tblInd w:w="0" w:type="dxa"/>
        <w:tblLayout w:type="fixed"/>
        <w:tblCellMar>
          <w:top w:w="28" w:type="dxa"/>
          <w:left w:w="28" w:type="dxa"/>
          <w:bottom w:w="28" w:type="dxa"/>
          <w:right w:w="28" w:type="dxa"/>
        </w:tblCellMar>
      </w:tblPr>
      <w:tblGrid>
        <w:gridCol w:w="1748"/>
        <w:gridCol w:w="1538"/>
        <w:gridCol w:w="1544"/>
        <w:gridCol w:w="109"/>
        <w:gridCol w:w="534"/>
        <w:gridCol w:w="534"/>
        <w:gridCol w:w="536"/>
        <w:gridCol w:w="211"/>
        <w:gridCol w:w="796"/>
        <w:gridCol w:w="109"/>
        <w:gridCol w:w="109"/>
        <w:gridCol w:w="109"/>
        <w:gridCol w:w="109"/>
        <w:gridCol w:w="211"/>
        <w:gridCol w:w="796"/>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2604" w:type="dxa"/>
            <w:gridSpan w:val="9"/>
            <w:tcBorders/>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4830"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GAAP net loss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(12,920)</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1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of real estate assets</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43,675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lease-related costs</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15,263</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15,413 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sale of real estate assets</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NAREIT FFO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46,018</w:t>
            </w:r>
            <w:r>
              <w:rPr>
                <w:color w:val="000000"/>
              </w:rPr>
              <w:t> </w:t>
            </w:r>
          </w:p>
        </w:tc>
        <w:tc>
          <w:tcPr>
            <w:tcW w:w="109"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45,033 </w:t>
            </w:r>
          </w:p>
        </w:tc>
        <w:tc>
          <w:tcPr>
            <w:tcW w:w="154" w:type="dxa"/>
            <w:tcBorders>
              <w:top w:val="sing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Core FFO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46,018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debt issuance costs and discounts on debt</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Depreciation of non-real estate assets</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351</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Straight-line effects of lease revenue</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Stock-based compensation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(739)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Amortization of lease-related intangibles</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Non-incremental capital expenditures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(17,114)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(12,194)</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AFFO applicable to common stock</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23,842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23,489 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Weighted-average shares outstanding – diluted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126,136</w:t>
            </w:r>
            <w:r>
              <w:rPr>
                <w:color w:val="000000"/>
              </w:rPr>
              <w:t> </w:t>
            </w:r>
          </w:p>
        </w:tc>
        <w:tc>
          <w:tcPr>
            <w:tcW w:w="109" w:type="dxa"/>
            <w:tcBorders>
              <w:top w:val="doub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shd w:fill="F8F4F1"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125,177 </w:t>
            </w:r>
          </w:p>
        </w:tc>
        <w:tc>
          <w:tcPr>
            <w:tcW w:w="154" w:type="dxa"/>
            <w:tcBorders>
              <w:top w:val="double" w:sz="8" w:space="0" w:color="000000"/>
            </w:tcBorders>
            <w:shd w:fill="F8F4F1"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NAREIT FFO per share (diluted)</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Core FFO per share (diluted)</w:t>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0.36</w:t>
            </w:r>
            <w:r>
              <w:rPr>
                <w:color w:val="000000"/>
              </w:rPr>
              <w:t>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0.36 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6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We define non-incremental capital expenditures as capital expenditures of a recurring nature related to tenant improvements, leasing commissions, and building capital that do not incrementally enhance the underlying assets' income generating capacity. Tenant improvements, leasing commissions, building capital and deferred lease incentives incurred to lease space that was vacant at acquisition, leasing costs for spaces vacant for greater than one year, leasing costs for spaces at newly acquired properties for which in-place leases expire shortly after acquisition, improvements associated with the expansion of a building, and renovations that either enhance the rental rates of a building or change the property's underlying classification, such as from a Class B to a Class A property, are excluded from this measure.</w:t>
      </w:r>
    </w:p>
    <w:p>
      <w:pPr>
        <w:pStyle w:val="TextBody"/>
        <w:bidi w:val="0"/>
        <w:spacing w:lineRule="auto" w:line="288" w:before="60" w:after="60"/>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Includes potential dilution under the treasury stock method that would occur if our remaining unvested and potential stock awards vested and resulted in additional common shares outstanding. Such shares are not included when calculating net loss per share applicable to Piedmont for the three months ended March 31, 2026 and 2025</w:t>
      </w:r>
      <w:r>
        <w:rPr>
          <w:rFonts w:ascii="Times New Roman;serif" w:hAnsi="Times New Roman;serif"/>
          <w:b w:val="false"/>
          <w:color w:val="000000"/>
          <w:sz w:val="20"/>
        </w:rPr>
        <w:t xml:space="preserve">, </w:t>
      </w:r>
      <w:r>
        <w:rPr>
          <w:rFonts w:ascii="Times New Roman;serif" w:hAnsi="Times New Roman;serif"/>
          <w:b w:val="false"/>
          <w:color w:val="000000"/>
          <w:sz w:val="18"/>
        </w:rPr>
        <w:t>respectively, as they would reduce the loss per share presented.</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Property and Same Store Net Operating Income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Property Net Operating Income ("Property NOI") is a non-GAAP measure which we use to assess our operating results. We calculate Property NOI beginning with Net loss (calculated in accordance with GAAP) before adjusting for interest, depreciation and amortization and removing any impairments and gains or losses from sales of property and other significant infrequent items that create volatility within our earnings and make it difficult to determine the earnings generated by our core ongoing business. Furthermore, we remove general and administrative expenses, income associated with property management performed by us for other organizations, and other income or expense items. For Property NOI (cash basis), straight-lined rents and fair value lease revenue are also eliminated; while such effects are not adjusted in calculating Property NOI (accrual basis). Property NOI is a non-GAAP financial measure and should not be viewed as an alternative to net loss calculated in accordance with GAAP as a measurement of our operating performance. We believe that Property NOI, on either a cash or accrual basis, is helpful to investors as a supplemental comparative performance measure of income generated by our properties alone without our administrative overhead. Other REITs may not define Property NOI in the same manner as we do; therefore, our computation of Property NOI may not be comparable to that of other REITs.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calculate Same Store Net Operating Income ("Same Store NOI") as Property NOI attributable to the properties (excluding undeveloped land parcels) that were (i) owned by us during the entire span of the current and prior year reporting periods; and (ii) that were not out of service for development or redevelopment during those periods. Same Store NOI, on either a cash or accrual basis, is a non-GAAP financial measure and should not be viewed as an alternative to net loss calculated in accordance with GAAP as a measurement of our operating performance. We believe that Same Store NOI is helpful to investors as a supplemental comparative performance measure of the income generated from the same group of properties from one period to the next. Other REITs may not define Same Store NOI in the same manner as we do; therefore, our computation of Same Store NOI may not be comparable to that of other REITs.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loss calculated in accordance with GAAP to EBITDAre, Core EBITDA, Property NOI, and Same Store NOI, on both a cash and accrual basis, for the three months ended March 31, 2026 and 2025 (in thousands):</w:t>
      </w:r>
    </w:p>
    <w:p>
      <w:pPr>
        <w:pStyle w:val="TextBody"/>
        <w:bidi w:val="0"/>
        <w:spacing w:before="0" w:after="0"/>
        <w:jc w:val="both"/>
        <w:rPr/>
      </w:pPr>
      <w:r>
        <w:rPr/>
      </w:r>
    </w:p>
    <w:tbl>
      <w:tblPr>
        <w:tblW w:w="9893" w:type="dxa"/>
        <w:jc w:val="center"/>
        <w:tblInd w:w="0" w:type="dxa"/>
        <w:tblLayout w:type="fixed"/>
        <w:tblCellMar>
          <w:top w:w="28" w:type="dxa"/>
          <w:left w:w="28" w:type="dxa"/>
          <w:bottom w:w="28" w:type="dxa"/>
          <w:right w:w="28" w:type="dxa"/>
        </w:tblCellMar>
      </w:tblPr>
      <w:tblGrid>
        <w:gridCol w:w="1476"/>
        <w:gridCol w:w="1297"/>
        <w:gridCol w:w="1306"/>
        <w:gridCol w:w="211"/>
        <w:gridCol w:w="796"/>
        <w:gridCol w:w="271"/>
        <w:gridCol w:w="109"/>
        <w:gridCol w:w="109"/>
        <w:gridCol w:w="109"/>
        <w:gridCol w:w="211"/>
        <w:gridCol w:w="796"/>
        <w:gridCol w:w="109"/>
        <w:gridCol w:w="109"/>
        <w:gridCol w:w="109"/>
        <w:gridCol w:w="109"/>
        <w:gridCol w:w="211"/>
        <w:gridCol w:w="796"/>
        <w:gridCol w:w="271"/>
        <w:gridCol w:w="109"/>
        <w:gridCol w:w="109"/>
        <w:gridCol w:w="109"/>
        <w:gridCol w:w="211"/>
        <w:gridCol w:w="796"/>
        <w:gridCol w:w="154"/>
      </w:tblGrid>
      <w:tr>
        <w:trPr/>
        <w:tc>
          <w:tcPr>
            <w:tcW w:w="147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Basis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Accrual Basis</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2025</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 applicable to Piedmont (GAAP)</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(12,920)</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(12,920)</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applicable to noncontrolling interest</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31,929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31,929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Depreciation </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44,027</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44,027</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40,894 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15,263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15,263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Gain on sale of real estate assets </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EBITDAre</w:t>
            </w:r>
            <w:r>
              <w:rPr>
                <w:rFonts w:ascii="Times New Roman;serif" w:hAnsi="Times New Roman;serif"/>
                <w:b/>
                <w:color w:val="000000"/>
                <w:sz w:val="13"/>
              </w:rPr>
              <w:t>(1)</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78,304</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77,105 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78,304</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77,105 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Loss on early extinguishment of debt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8F4F1"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Core EBITDA</w:t>
            </w:r>
            <w:r>
              <w:rPr>
                <w:rFonts w:ascii="Times New Roman;serif" w:hAnsi="Times New Roman;serif"/>
                <w:b/>
                <w:color w:val="000000"/>
                <w:sz w:val="13"/>
              </w:rPr>
              <w:t>(2)</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78,304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78,304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77,605 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General &amp; administrative expenses </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7,909</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7,909</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Management fee revenue </w:t>
            </w:r>
            <w:r>
              <w:rPr>
                <w:rFonts w:ascii="Times New Roman;serif" w:hAnsi="Times New Roman;serif"/>
                <w:b w:val="false"/>
                <w:color w:val="000000"/>
                <w:sz w:val="13"/>
              </w:rPr>
              <w:t>(3)</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(118)</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Straight-line effects of lease revenue </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(4,382)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lease-related intangibles </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(1,940)</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NOI</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79,615</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73,086 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85,937</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84,816 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operating income from:</w:t>
            </w:r>
          </w:p>
        </w:tc>
        <w:tc>
          <w:tcPr>
            <w:tcW w:w="127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Dispositions </w:t>
            </w:r>
            <w:r>
              <w:rPr>
                <w:rFonts w:ascii="Times New Roman;serif" w:hAnsi="Times New Roman;serif"/>
                <w:b w:val="false"/>
                <w:color w:val="000000"/>
                <w:sz w:val="13"/>
              </w:rPr>
              <w:t>(4)</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investments </w:t>
            </w:r>
            <w:r>
              <w:rPr>
                <w:rFonts w:ascii="Times New Roman;serif" w:hAnsi="Times New Roman;serif"/>
                <w:b w:val="false"/>
                <w:color w:val="000000"/>
                <w:sz w:val="13"/>
              </w:rPr>
              <w:t>(5)</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327</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(656)</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Same Store NOI</w:t>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79,987</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72,024 </w:t>
            </w:r>
          </w:p>
        </w:tc>
        <w:tc>
          <w:tcPr>
            <w:tcW w:w="109"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85,327</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83,747 </w:t>
            </w:r>
          </w:p>
        </w:tc>
        <w:tc>
          <w:tcPr>
            <w:tcW w:w="154" w:type="dxa"/>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Change period over period in Same Store NOI</w:t>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11.1</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N/A</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8F4F1"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i/>
                <w:color w:val="000000"/>
                <w:sz w:val="20"/>
              </w:rPr>
              <w:t>1.9</w:t>
            </w:r>
            <w:r>
              <w:rPr>
                <w:color w:val="000000"/>
              </w:rPr>
              <w:t> </w:t>
            </w:r>
          </w:p>
        </w:tc>
        <w:tc>
          <w:tcPr>
            <w:tcW w:w="271" w:type="dxa"/>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i/>
                <w:color w:val="000000"/>
                <w:sz w:val="20"/>
              </w:rPr>
            </w:pPr>
            <w:r>
              <w:rPr>
                <w:rFonts w:ascii="Times New Roman;serif" w:hAnsi="Times New Roman;serif"/>
                <w:b/>
                <w:i/>
                <w:color w:val="000000"/>
                <w:sz w:val="20"/>
              </w:rPr>
              <w:t>%</w:t>
            </w:r>
          </w:p>
        </w:tc>
        <w:tc>
          <w:tcPr>
            <w:tcW w:w="327" w:type="dxa"/>
            <w:gridSpan w:val="3"/>
            <w:tcBorders/>
            <w:shd w:fill="F8F4F1"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8F4F1"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N/A</w:t>
            </w:r>
          </w:p>
        </w:tc>
      </w:tr>
    </w:tbl>
    <w:p>
      <w:pPr>
        <w:pStyle w:val="TextBody"/>
        <w:bidi w:val="0"/>
        <w:spacing w:before="60" w:after="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before="60" w:after="60"/>
        <w:jc w:val="both"/>
        <w:rPr/>
      </w:pPr>
      <w:r>
        <w:rPr/>
      </w:r>
    </w:p>
    <w:p>
      <w:pPr>
        <w:pStyle w:val="TextBody"/>
        <w:bidi w:val="0"/>
        <w:spacing w:lineRule="auto" w:line="288" w:before="60" w:after="60"/>
        <w:ind w:left="0" w:right="0" w:hanging="720"/>
        <w:jc w:val="both"/>
        <w:rPr/>
      </w:pPr>
      <w:r>
        <w:rPr>
          <w:rFonts w:ascii="Times New Roman;serif" w:hAnsi="Times New Roman;serif"/>
          <w:b w:val="false"/>
          <w:color w:val="000000"/>
          <w:sz w:val="12"/>
        </w:rPr>
        <w:t>(1)</w:t>
      </w:r>
      <w:r>
        <w:rPr>
          <w:rFonts w:ascii="Times New Roman;serif" w:hAnsi="Times New Roman;serif"/>
          <w:b w:val="false"/>
          <w:color w:val="000000"/>
          <w:sz w:val="18"/>
        </w:rPr>
        <w:t>We calculate Earnings Before Interest, Taxes, Depreciation, and Amortization- Real Estate ("EBITDAre") in accordance with the current NAREIT definition. NAREIT currently defines EBITDAre as net income (computed in accordance with GAAP) adjusted for gains or losses from sales of property, impairment losses, depreciation on real estate assets, amortization on real estate assets, interest expense and taxes, along with the same adjustments for joint ventures, if any. Some of the adjustments mentioned can vary among owners of identical assets in similar conditions based on historical cost accounting and useful-life estimates. EBITDAre is a non-GAAP financial measure and should not be viewed as an alternative to net income calculated in accordance with GAAP as a measurement of our operating performance. We believe that EBITDAre is helpful to investors as a supplemental performance measure because it provides a metric for understanding our results from ongoing operations without taking into account the effects of non-cash expenses (such as depreciation and amortization) and capitalization and capital structure expenses (such as interest expense and taxes). We also believe that EBITDAre can help facilitate comparisons of operating performance between periods and with other REITs. However, other REITs may not define EBITDAre in accordance with the NAREIT definition, or may interpret the current NAREIT definition differently than us; therefore, our computation of EBITDAre may not be comparable to that of such other REITs.</w:t>
      </w:r>
    </w:p>
    <w:p>
      <w:pPr>
        <w:pStyle w:val="TextBody"/>
        <w:bidi w:val="0"/>
        <w:spacing w:lineRule="auto" w:line="288" w:before="60" w:after="60"/>
        <w:ind w:left="0" w:right="0" w:hanging="720"/>
        <w:jc w:val="both"/>
        <w:rPr/>
      </w:pPr>
      <w:r>
        <w:rPr>
          <w:rFonts w:ascii="Times New Roman;serif" w:hAnsi="Times New Roman;serif"/>
          <w:b w:val="false"/>
          <w:color w:val="000000"/>
          <w:sz w:val="12"/>
        </w:rPr>
        <w:t>(2)</w:t>
      </w:r>
      <w:r>
        <w:rPr>
          <w:rFonts w:ascii="Times New Roman;serif" w:hAnsi="Times New Roman;serif"/>
          <w:b w:val="false"/>
          <w:color w:val="000000"/>
          <w:sz w:val="18"/>
        </w:rPr>
        <w:t>We calculate Core Earnings Before Interest, Taxes, Depreciation, and Amortization ("Core EBITDA") as net income (computed in accordance with GAAP) before interest, taxes, depreciation and amortization and removing any impairment losses, gains or losses from sales of property and other significant infrequent items that create volatility within our earnings and make it difficult to determine the earnings generated by our core ongoing business. Core EBITDA is a non-GAAP financial measure and should not be viewed as an alternative to net income calculated in accordance with GAAP as a measurement of our operating performance. We believe that Core EBITDA is helpful to investors as a supplemental performance measure because it provides a metric for understanding the performance of our results from ongoing operations without taking into account the effects of non-cash expenses (such as depreciation and amortization), as well as items that are not part of normal day-to-day operations of our business. Other REITs may not define Core EBITDA in the same manner as us; therefore, our computation of Core EBITDA may not be comparable to that of other REITs.</w:t>
      </w:r>
    </w:p>
    <w:p>
      <w:pPr>
        <w:pStyle w:val="TextBody"/>
        <w:bidi w:val="0"/>
        <w:spacing w:lineRule="auto" w:line="288" w:before="60" w:after="60"/>
        <w:ind w:left="0" w:right="0" w:hanging="720"/>
        <w:jc w:val="both"/>
        <w:rPr/>
      </w:pPr>
      <w:r>
        <w:rPr>
          <w:rFonts w:ascii="Times New Roman;serif" w:hAnsi="Times New Roman;serif"/>
          <w:b w:val="false"/>
          <w:color w:val="000000"/>
          <w:sz w:val="12"/>
        </w:rPr>
        <w:t>(3)</w:t>
      </w:r>
      <w:r>
        <w:rPr>
          <w:rFonts w:ascii="Times New Roman;serif" w:hAnsi="Times New Roman;serif"/>
          <w:b w:val="false"/>
          <w:color w:val="000000"/>
          <w:sz w:val="18"/>
        </w:rPr>
        <w:t>Presented net of related operating expenses incurred to earn such management fee revenue.</w:t>
      </w:r>
    </w:p>
    <w:p>
      <w:pPr>
        <w:pStyle w:val="TextBody"/>
        <w:bidi w:val="0"/>
        <w:spacing w:lineRule="auto" w:line="288" w:before="60" w:after="60"/>
        <w:ind w:left="0" w:right="0" w:hanging="720"/>
        <w:jc w:val="both"/>
        <w:rPr/>
      </w:pPr>
      <w:r>
        <w:rPr>
          <w:rFonts w:ascii="Times New Roman;serif" w:hAnsi="Times New Roman;serif"/>
          <w:b w:val="false"/>
          <w:color w:val="000000"/>
          <w:sz w:val="12"/>
        </w:rPr>
        <w:t>(4)</w:t>
      </w:r>
      <w:r>
        <w:rPr>
          <w:rFonts w:ascii="Times New Roman;serif" w:hAnsi="Times New Roman;serif"/>
          <w:b w:val="false"/>
          <w:color w:val="000000"/>
          <w:sz w:val="18"/>
        </w:rPr>
        <w:t>Dispositions include 80 and 90 Central, sold in the second quarter of 2025, and 161 Corporate Center, sold in the first quarter of 2025.</w:t>
      </w:r>
    </w:p>
    <w:p>
      <w:pPr>
        <w:pStyle w:val="TextBody"/>
        <w:bidi w:val="0"/>
        <w:spacing w:lineRule="auto" w:line="288" w:before="60" w:after="60"/>
        <w:ind w:left="0" w:right="0" w:hanging="720"/>
        <w:jc w:val="both"/>
        <w:rPr/>
      </w:pPr>
      <w:r>
        <w:rPr>
          <w:rFonts w:ascii="Times New Roman;serif" w:hAnsi="Times New Roman;serif"/>
          <w:b w:val="false"/>
          <w:color w:val="000000"/>
          <w:sz w:val="12"/>
        </w:rPr>
        <w:t>(5)</w:t>
      </w:r>
      <w:r>
        <w:rPr>
          <w:rFonts w:ascii="Times New Roman;serif" w:hAnsi="Times New Roman;serif"/>
          <w:b w:val="false"/>
          <w:color w:val="000000"/>
          <w:sz w:val="18"/>
        </w:rPr>
        <w:t>Other investments include active or recently completed out-of-service redevelopment projects and land. The operating results from a portion of The Exchange in Orlando, Florida, as well as Meridian and 9320 Excelsior Boulevard in suburban Minneapolis, Minnesota are included in this line item.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Overview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portfolio consists of office projects located within identified growth submarkets of large metropolitan cities concentrated primarily in the Sunbelt. We typically lease space to creditworthy corporate or governmental tenants on a long-term basis. As of March 31, 2026, our average lease was approximately 13,000 square feet with six years of lease term remaining. Leased percentage, as well as rent roll ups and roll downs which we experience as a result of re-leasing, can fluctuate widely between buildings and between tenants, depending on when a particular lease is scheduled to commence or expire.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Leased Percentage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in-service portfolio was 89.3% leased as of March 31, 2026, as compared to 89.6% leased as of December 31, 2025. Scheduled lease expirations for the remainder of 2026 represent approximately 8% of our ALR. To the extent that square footage from new leases for currently vacant space in our in-service portfolio exceeds or falls short of the square footage associated with non-renewing expirations, such leases would increase or decrease our in-service leased percentage, respectively. As of March 31, 2026, three projects, 222 South Orange Avenue in Orlando, Florida, and 9320 Excelsior Boulevard and Meridian, both in suburban Minneapolis, Minnesota, were classified as out of service as they have recently undergone redevelopment to convert from single tenant occupancy to multi-tenant occupancy. Collectively, these out of service projects were approximately 76% leased as of March 31, 2026, with the majority of those leases anticipated to commence by the end of 2026 or early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Impact of Downtime, Abatement Periods, and Rental Rate Changes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Commencement of a lease associated with a new tenant typically occurs 6-18 months after the lease execution date, after refurbishment of the space is completed. The downtime between a lease expiration and the new lease's commencement can negatively impact Property NOI and Same Store NOI comparisons (both accrual and cash basis). In addition, office leases for both new and renewing tenants often contain upfront rental and/or operating expense abatement periods which may delay the cash flow benefits of the lease even after the new or renewed lease has commenced, negatively impacting Property NOI and Same Store NOI on a cash basis until such abatements expire. As of March 31, 2026, we had approximately 1.0 million square feet of executed leases for vacant space that are yet to commence representing approximately $42 million of future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annual cash rents, and approximately 0.9 million square feet of executed leases currently under rental abatement, representing approximately $26 million of future additional annual cash rents.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we are unable to replace expiring leases with new or renewal leases at rental rates equal to or greater than the expiring rates, rental rate roll-downs could occur and negatively impact Property NOI and Same Store NOI comparisons. As discussed above, our diverse portfolio and the magnitude of some of our tenants' leased spaces can result in rent roll-ups and roll-downs that can fluctuate widely on a project-by-project and a quarter-to-quarter basis. During the three months ended March 31, 2026, we experienced a 11.1% and 17.8% roll up in cash and accrual rents, respectively, on executed leases related to space vacant one year or less.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Same Store NOI increased by 11.1% and 1.9% on a cash and accrual basis, respectively, as newly commenced leases or those with expiring abatements outweighed expiring leases. Same Store NOI comparisons for any given period fluctuate as a result of the mix of net leasing activity in individual properties during the respective period.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Election as a REIT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elected to be taxed as a REIT under the Code and have operated as such beginning with our taxable year ended December 31, 1998. To qualify as a REIT, we must meet certain organizational and operational requirements, including a requirement to distribute at least 90% of our adjusted REIT taxable income, computed without regard to the dividends-paid deduction and by excluding net capital gains attributable to our stockholders, as defined by the Code. As a REIT, we generally will not be subject to federal income tax on income that we distribute to our stockholders. If we fail to qualify as a REIT in any taxable year, we may be subject to federal income taxes on our taxable income for that year and for the four years following the year during which qualification is lost and/or penalties, unless the IRS grants us relief under certain statutory provisions. Such an event could materially adversely affect our net loss and net cash available for distribution to our stockholders. However, we believe that we are organized and operate in such a manner as to qualify for treatment as a REIT and intend to continue to operate in the foreseeable future in such a manner that we will remain qualified as a REIT for federal income tax purposes. We have elected to treat one of our wholly owned subsidiaries as a taxable REIT subsidiary ("TRS"). Our TRS performs non-customary services for tenants of buildings that we own, including real estate and non-real estate related services. Any earnings related to such services performed by our TRS are subject to federal and state income taxes. In addition, for us to continue to qualify as a REIT, our investments in TRS cannot exceed 20% of the value of our total assets.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Inflation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inflation risk, as income from long-term leases is the primary source of our cash flows from operations. There are provisions in the majority of our tenant leases that are intended to protect us from, and mitigate the risk of, the impact of inflation. These provisions include rent steps, reimbursement billings for operating expense pass-through charges, real estate tax, and insurance on a per square-foot basis, or in some cases, annual reimbursement of operating expenses above certain per square-foot allowances. However, due to the long-term nature of the leases, the leases may not readjust their reimbursement rates frequently enough to fully cover inflation.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Application of 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accounting policies have been established to conform with GAAP. The preparation of financial statements in conformity with GAAP requires management to use judgment in the application of accounting policies, including making estimates and assumptions. These judgments affect the reported amounts of assets and liabilities and disclosure of contingent assets and liabilities at the dates of the financial statements and the reported amounts of revenue and expenses during the reporting periods. If our judgment or interpretation of the facts and circumstances relating to various transactions had been different, it is possible that different accounting policies would have been applied, thus, resulting in a different presentation of the financial statements. Additionally, other companies may utilize different estimates that may impact comparability of our results of operations to those of companies in similar businesses. Refer to our Annual Report on Form 10-K for the year ended December 31, 2025 for a discussion of our critical accounting policies and estimates. There have been no material changes to these policies during the three months ended March 31,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Commitments and Contingencies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 xml:space="preserve">We are subject to certain commitments and contingencies with regard to certain transactions. Refer to </w:t>
      </w:r>
      <w:hyperlink w:anchor="i818ebe5609f4435382271666666a7db1_67">
        <w:r>
          <w:rPr>
            <w:rStyle w:val="InternetLink"/>
            <w:rFonts w:ascii="Times New Roman;serif" w:hAnsi="Times New Roman;serif"/>
            <w:b w:val="false"/>
            <w:color w:val="0000FF"/>
            <w:sz w:val="20"/>
            <w:u w:val="single"/>
          </w:rPr>
          <w:t>Note 7</w:t>
        </w:r>
      </w:hyperlink>
      <w:r>
        <w:rPr>
          <w:color w:val="000000"/>
        </w:rPr>
        <w:t xml:space="preserve"> </w:t>
      </w:r>
      <w:r>
        <w:rPr>
          <w:rFonts w:ascii="Times New Roman;serif" w:hAnsi="Times New Roman;serif"/>
          <w:b w:val="false"/>
          <w:color w:val="000000"/>
          <w:sz w:val="20"/>
        </w:rPr>
        <w:t xml:space="preserve">to our consolidated financial statements for further explanation.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ind w:left="0" w:right="0" w:hanging="108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future income, cash flows, and estimated fair values of our financial instruments depend in part upon prevailing market interest rates. Market risk is the exposure to loss resulting from changes in interest rates, foreign currency, exchange rates, commodity prices, and equity prices. As of March 31, 2026, our primary market risk is our exposure to interest rate fluctuations in connection with borrowings under our $600 Million Unsecured 2022 Line of Credit and our $325 Million Unsecured 2024 Term Loan. Many factors, including governmental monetary and tax policies, domestic and international economic and political considerations, and other factors that are beyond our control contribute to interest rate risk, including changes in the method pursuant to which SOFR rates are determined.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interest rate risk management objectives are to limit the impact of interest rate changes on earnings and cash flow primarily through a low-to-moderate level of overall borrowings, as well as managing the variability in rate fluctuations on our outstanding debt. As such, all of our debt as of March 31, 2026, other than the variable rate facility and term loan mentioned above, is currently based on fixed interest rates to hedge against volatility in the credit markets. We may enter into interest rate hedging arrangements in the future to manage variability in interest expense associated with variable-rate borrowings. The timing and amount of any future hedging activity will depend on several factors, including market conditions, our view of interest rate risk, and our overall financing strategy. We do not enter into derivative or interest rate transactions for speculative purposes.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estimated fair value of our debt was approximately $2.2 billion and $2.3 billion as of March 31, 2026 and December 31, 2025, respectively. Our interest rate swap agreements in place as of December 31, 2025, which expired on February 1, 2026, carried a notional amount totaling $325 million with a weighted-average fixed interest rate of 5.38%.</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our total outstanding debt subject to fixed interest rates totaled approximately $1.9 billion and had an average effective interest rate of approximately 5.64% per annum with contractual expirations, not including extension options, ranging from 2028 to 2033. A change in the market interest rate would impact the relative fair value of our fixed-rate debt portfolio but has no impact on interest incurred or cash flows for that portfolio.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March 31, 2026, we had $74.0 million outstanding on our $600 Million Unsecured 2022 Line of Credit. Our $600 Million Unsecured 2022 Line of Credit currently has a stated rate of SOFR plus 1.05% per annum (based on our current credit rating as defined in the credit agreement), resulting in a total interest rate of 4.73%. Additionally, our $325 Million Unsecured 2024 Term Loan currently has a stated rate of SOFR plus 1.30% per annum (based on our current credit rating as defined in the term loan agreement), resulting in a total interest rate of 4.93%. To the extent that we borrow additional funds in the future under the $600 Million Unsecured 2022 Line of Credit or potential future variable-rate debt facilities, we would have exposure to increases in interest rates, which would potentially increase our cost of debt. Additionally, a 1.0% increase in variable interest rates on our existing outstanding borrowings as of March 31, 2026 would increase interest expense approximately $4.0 million on a per annum basis.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Management’s Conclusions Regarding the Effectiveness of Disclosure Controls and Procedures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carried out an evaluation, under the supervision and with the participation of management, including the Principal Executive Officer and the Principal Financial Officer, of the effectiveness of the design and operation of our disclosure controls and procedures as defined in Rules 13a-15(e) and 15d-15(e) of the Securities Exchange Act of 1934 (the “Exchange Act”) as of the end of the quarterly period covered by this report. Based upon that evaluation, the Principal Executive Officer and the Principal Financial Officer concluded that our disclosure controls and procedures were effective as of the end of the period covered by this quarterly report in providing a reasonable level of assurance that information we are required to disclose in the reports we file or submit under the Exchange Act is recorded, processed, summarized, and represented within the time periods specified in applicable SEC rules and forms, including providing a reasonable level of assurance that information required to be disclosed by us in the reports we file under the Exchange Act is accumulated and communicated to our management, including the Principal Executive Officer and the Principal Financial Officer, as appropriate, to allow timely decisions regarding required disclosure.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changes in our internal control over financial reporting during the quarter ended March 31, 2026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not subject to any material pending legal proceedings. However, we are subject to routine litigation arising in the ordinary course of owning and operating real estate assets. Our management expects that these ordinary routine legal proceedings will be covered by insurance and does not expect these legal proceedings to have a material adverse effect on our financial condition, results of operations, or liquidity. Additionally, management is not aware of any legal proceedings against Piedmont contemplated by governmental authorities.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known material changes from the risk factors previously disclosed in our Annual Report on Form 10-K for the year ended December 31,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(a)There were no unregistered sales of equity securities during the first quarter of 2026.</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lineRule="auto" w:line="288" w:before="0" w:after="180"/>
        <w:ind w:left="0" w:right="0" w:hanging="720"/>
        <w:jc w:val="both"/>
        <w:rPr/>
      </w:pPr>
      <w:r>
        <w:rPr>
          <w:rFonts w:ascii="Times New Roman;serif" w:hAnsi="Times New Roman;serif"/>
          <w:b w:val="false"/>
          <w:color w:val="000000"/>
          <w:sz w:val="18"/>
        </w:rPr>
        <w:t>(c)</w:t>
      </w:r>
      <w:r>
        <w:rPr>
          <w:rFonts w:ascii="Times New Roman;serif" w:hAnsi="Times New Roman;serif"/>
          <w:b w:val="false"/>
          <w:color w:val="000000"/>
          <w:sz w:val="20"/>
        </w:rPr>
        <w:t>None.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During the fiscal quarter ended March 31, 2026, none of our directors or officers adopted or terminated a “Rule 10b5-1 trading arrangement” or a “non-Rule 10b5-1 trading arrangement” as those terms are defined in Regulation S-K, Item 408.</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is intended to satisfy Piedmont’s Item 5.02(e) Form 8-K reporting obligations by making timely disclosure in accordance with Item 5(a) of Form 10-Q.</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April 28, 2026, Piedmont’s Board of Directors approved an Amended and Restated Participation Agreement with Sherry Rexroad, Chief Financial Officer, under Piedmont’s Executive Severance Plan (the “Amended Participation Agreement”). The Amended Participation Agreement provides for an increase to Ms. Rexroad’s severance multiplier in the event of a termination not for cause in connection with a change in control or a resignation for good reason in connection with a change in control to 2.5x (the “Severance Multiplier”). In the event of a qualifying termination, the Severance Multiplier will be multiplied by the sum of the participant’s annual base salary and target annual bonus.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95"/>
        <w:gridCol w:w="262"/>
        <w:gridCol w:w="239"/>
        <w:gridCol w:w="109"/>
        <w:gridCol w:w="109"/>
        <w:gridCol w:w="109"/>
        <w:gridCol w:w="2972"/>
        <w:gridCol w:w="2699"/>
        <w:gridCol w:w="2708"/>
        <w:gridCol w:w="109"/>
        <w:gridCol w:w="109"/>
        <w:gridCol w:w="109"/>
        <w:gridCol w:w="109"/>
        <w:gridCol w:w="109"/>
        <w:gridCol w:w="158"/>
      </w:tblGrid>
      <w:tr>
        <w:trPr/>
        <w:tc>
          <w:tcPr>
            <w:tcW w:w="29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2" w:type="dxa"/>
            <w:tcBorders/>
            <w:vAlign w:val="center"/>
          </w:tcPr>
          <w:p>
            <w:pPr>
              <w:pStyle w:val="TableContents"/>
              <w:bidi w:val="0"/>
              <w:spacing w:before="0" w:after="283"/>
              <w:jc w:val="left"/>
              <w:rPr>
                <w:sz w:val="4"/>
                <w:szCs w:val="4"/>
              </w:rPr>
            </w:pPr>
            <w:r>
              <w:rPr>
                <w:sz w:val="4"/>
                <w:szCs w:val="4"/>
              </w:rPr>
            </w:r>
          </w:p>
        </w:tc>
        <w:tc>
          <w:tcPr>
            <w:tcW w:w="2699"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right"/>
              <w:rPr>
                <w:rFonts w:ascii="Times New Roman;serif" w:hAnsi="Times New Roman;serif"/>
                <w:b/>
                <w:color w:val="000000"/>
                <w:sz w:val="16"/>
                <w:u w:val="single"/>
              </w:rPr>
            </w:pPr>
            <w:r>
              <w:rPr>
                <w:rFonts w:ascii="Times New Roman;serif" w:hAnsi="Times New Roman;serif"/>
                <w:b/>
                <w:color w:val="000000"/>
                <w:sz w:val="16"/>
                <w:u w:val="single"/>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 of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Third Articles of Amendment and Restatement of Piedmont (incorporated by reference to Exhibit 3.1 to Piedmont’s Annual Report on Form 10-K for the fiscal year ended December 31, 2009, filed on March 16, 2010).</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Articles of Amendment to the Third Articles of Amendment and Restatement of Piedmont (incorporated by reference to Exhibit 3.2 to Piedmont's Current Report on Form 8-K filed on July 6, 2011)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Articles Supplementary to the Third Articles of Amendment and Restatement of Piedmont, as amended (incorporated by reference to Exhibit 3.1 to Piedmont's Current Report on Form 8-K filed on July 6, 2011)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Articles Supplementary to the Third Articles of Amendment and Restatement of Piedmont, as supplemented and amended (incorporated by reference to Exhibit 3.1 to Piedmont's Current Report on Form 8-K, filed on November 14, 2016)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Articles of Amendment to the Third Articles of Amendment and Restatement of Piedmont, as supplemented and amended (incorporated by reference to Exhibit 3.1 to Piedmont's Current Report on Form 8-K, filed on May 23, 2018)</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Articles of Amendment to the Third Articles of Amendment and Restatement of Piedmont, as supplemented and amended (incorporated by reference to Exhibit 3.1 to Piedmont's Current Report on Form 8-K filed on June 9,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Second Amended and Restated Bylaws of Piedmont (incorporated by reference to Exhibit 3.2 to Piedmont’s Current Report on Form 8-K, filed on June 9, 2025).</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r>
      <w:tr>
        <w:trPr/>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Subsidiary Issuer of Guaranteed Securities (incorporated by reference to Exhibit 22.1 to Piedmont's Annual Report on Form 10-K for the fiscal year ended December 31, 2025, filed on February 17, 2026).</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dm33126ex311peocert.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dm33126ex312pfocert.htm">
              <w:r>
                <w:rPr>
                  <w:rStyle w:val="InternetLink"/>
                  <w:rFonts w:ascii="Times New Roman;serif" w:hAnsi="Times New Roman;serif"/>
                  <w:b w:val="false"/>
                  <w:color w:val="0000FF"/>
                  <w:sz w:val="20"/>
                  <w:u w:val="single"/>
                </w:rPr>
                <w:t>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dm33126ex321ceocert.htm">
              <w:r>
                <w:rPr>
                  <w:rStyle w:val="InternetLink"/>
                  <w:rFonts w:ascii="Times New Roman;serif" w:hAnsi="Times New Roman;serif"/>
                  <w:b w:val="false"/>
                  <w:color w:val="0000FF"/>
                  <w:sz w:val="20"/>
                  <w:u w:val="single"/>
                </w:rPr>
                <w:t>Certification of Chief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dm33126ex322cfocert.htm">
              <w:r>
                <w:rPr>
                  <w:rStyle w:val="InternetLink"/>
                  <w:rFonts w:ascii="Times New Roman;serif" w:hAnsi="Times New Roman;serif"/>
                  <w:b w:val="false"/>
                  <w:color w:val="0000FF"/>
                  <w:sz w:val="20"/>
                  <w:u w:val="single"/>
                </w:rPr>
                <w:t>Certification of Chief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management compensatory plan or arrangement.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818ebe5609f4435382271666666a7db1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468" w:type="dxa"/>
        <w:jc w:val="left"/>
        <w:tblInd w:w="0" w:type="dxa"/>
        <w:tblLayout w:type="fixed"/>
        <w:tblCellMar>
          <w:top w:w="28" w:type="dxa"/>
          <w:left w:w="28" w:type="dxa"/>
          <w:bottom w:w="28" w:type="dxa"/>
          <w:right w:w="28" w:type="dxa"/>
        </w:tblCellMar>
      </w:tblPr>
      <w:tblGrid>
        <w:gridCol w:w="238"/>
        <w:gridCol w:w="210"/>
        <w:gridCol w:w="212"/>
        <w:gridCol w:w="429"/>
        <w:gridCol w:w="429"/>
        <w:gridCol w:w="431"/>
        <w:gridCol w:w="503"/>
        <w:gridCol w:w="503"/>
        <w:gridCol w:w="503"/>
        <w:gridCol w:w="1458"/>
        <w:gridCol w:w="1458"/>
        <w:gridCol w:w="2094"/>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PIEDMONT REALTY TRUST, INC.</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Dated:</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1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Sherry L. Rexroad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Sherry L. Rexroad</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 and Executive Vice President</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Financial Officer and Duly Authorized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EXECUTIVE OFFICER 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C. Brent Smith,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Form 10-Q for the quarter ended March 31, 2026 of Piedmont Realty Trust, Inc.;</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Dated: April 30, 2026 </w:t>
      </w:r>
    </w:p>
    <w:p>
      <w:pPr>
        <w:pStyle w:val="TextBody"/>
        <w:bidi w:val="0"/>
        <w:spacing w:lineRule="auto" w:line="288" w:before="0" w:after="0"/>
        <w:jc w:val="left"/>
        <w:rPr>
          <w:color w:val="000000"/>
        </w:rPr>
      </w:pPr>
      <w:r>
        <w:rPr>
          <w:color w:val="000000"/>
        </w:rPr>
        <w:t> </w:t>
      </w:r>
    </w:p>
    <w:tbl>
      <w:tblPr>
        <w:tblW w:w="322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21"/>
        <w:gridCol w:w="721"/>
        <w:gridCol w:w="10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 Brent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 Brent Smith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PRINCIPAL FINANCIAL OFFICER 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 Sherry L. Rexroad, certify that: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Form 10-Q for the quarter ended March 31, 2026 of Piedmont Realty Trust, Inc.;</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Dated: April 30, 2026 </w:t>
      </w:r>
    </w:p>
    <w:p>
      <w:pPr>
        <w:pStyle w:val="TextBody"/>
        <w:bidi w:val="0"/>
        <w:spacing w:lineRule="auto" w:line="288" w:before="0" w:after="0"/>
        <w:jc w:val="left"/>
        <w:rPr>
          <w:color w:val="000000"/>
        </w:rPr>
      </w:pPr>
      <w:r>
        <w:rPr>
          <w:color w:val="000000"/>
        </w:rPr>
        <w:t> </w:t>
      </w:r>
    </w:p>
    <w:tbl>
      <w:tblPr>
        <w:tblW w:w="3191" w:type="dxa"/>
        <w:jc w:val="left"/>
        <w:tblInd w:w="0" w:type="dxa"/>
        <w:tblLayout w:type="fixed"/>
        <w:tblCellMar>
          <w:top w:w="28" w:type="dxa"/>
          <w:left w:w="28" w:type="dxa"/>
          <w:bottom w:w="28" w:type="dxa"/>
          <w:right w:w="28" w:type="dxa"/>
        </w:tblCellMar>
      </w:tblPr>
      <w:tblGrid>
        <w:gridCol w:w="124"/>
        <w:gridCol w:w="109"/>
        <w:gridCol w:w="109"/>
        <w:gridCol w:w="134"/>
        <w:gridCol w:w="134"/>
        <w:gridCol w:w="136"/>
        <w:gridCol w:w="715"/>
        <w:gridCol w:w="715"/>
        <w:gridCol w:w="10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Sherry L. Rexroad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Sherry L. Rexroad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 (18 U.S.C. 1350)</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Report of Piedmont Realty Trust, Inc. (the “Registrant”) on Form 10-Q for the quarter ended March 31, 2026, as filed with the Securities and Exchange Commission (the “Report”), the undersigned, C. Brent Smith, Chief Executive Officer of the Registrant, hereby certifies, pursuant to 18 U.S.C. §1350, as adopted pursuant to §906 of the Sarbanes-Oxley Act of 2002, that, to the best of my knowledge and belief:</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p>
      <w:pPr>
        <w:pStyle w:val="TextBody"/>
        <w:bidi w:val="0"/>
        <w:spacing w:before="180" w:after="283"/>
        <w:jc w:val="both"/>
        <w:rPr/>
      </w:pPr>
      <w:r>
        <w:rPr/>
      </w:r>
    </w:p>
    <w:tbl>
      <w:tblPr>
        <w:tblW w:w="2876" w:type="dxa"/>
        <w:jc w:val="left"/>
        <w:tblInd w:w="0" w:type="dxa"/>
        <w:tblLayout w:type="fixed"/>
        <w:tblCellMar>
          <w:top w:w="28" w:type="dxa"/>
          <w:left w:w="28" w:type="dxa"/>
          <w:bottom w:w="28" w:type="dxa"/>
          <w:right w:w="28" w:type="dxa"/>
        </w:tblCellMar>
      </w:tblPr>
      <w:tblGrid>
        <w:gridCol w:w="151"/>
        <w:gridCol w:w="134"/>
        <w:gridCol w:w="135"/>
        <w:gridCol w:w="693"/>
        <w:gridCol w:w="693"/>
        <w:gridCol w:w="698"/>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 Brent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 Brent Smith</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 (18 U.S.C. 1350)</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connection with the Report of Piedmont Realty Trust, Inc. (the “Registrant”) on Form 10-Q for the quarter ended March 31, 2026, as filed with the Securities and Exchange Commission (the “Report”), the undersigned, Sherry L. Rexroad, Chief Financial Officer of the Registrant, hereby certifies, pursuant to 18 U.S.C. §1350, as adopted pursuant to §906 of the Sarbanes-Oxley Act of 2002, that, to the best of my knowledge and belief:</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Registrant.</w:t>
      </w:r>
    </w:p>
    <w:p>
      <w:pPr>
        <w:pStyle w:val="TextBody"/>
        <w:bidi w:val="0"/>
        <w:spacing w:before="180" w:after="283"/>
        <w:jc w:val="both"/>
        <w:rPr/>
      </w:pPr>
      <w:r>
        <w:rPr/>
      </w:r>
    </w:p>
    <w:tbl>
      <w:tblPr>
        <w:tblW w:w="2846" w:type="dxa"/>
        <w:jc w:val="left"/>
        <w:tblInd w:w="0" w:type="dxa"/>
        <w:tblLayout w:type="fixed"/>
        <w:tblCellMar>
          <w:top w:w="28" w:type="dxa"/>
          <w:left w:w="28" w:type="dxa"/>
          <w:bottom w:w="28" w:type="dxa"/>
          <w:right w:w="28" w:type="dxa"/>
        </w:tblCellMar>
      </w:tblPr>
      <w:tblGrid>
        <w:gridCol w:w="151"/>
        <w:gridCol w:w="134"/>
        <w:gridCol w:w="135"/>
        <w:gridCol w:w="684"/>
        <w:gridCol w:w="684"/>
        <w:gridCol w:w="686"/>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Sherry L. Rexroad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Sherry L. Rexroad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April 30,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42776/000119312510058371/dex31.htm" TargetMode="External"/><Relationship Id="rId3" Type="http://schemas.openxmlformats.org/officeDocument/2006/relationships/hyperlink" Target="https://www.sec.gov/Archives/edgar/data/1042776/000104277611000057/ex32articlesofamendmentofp.htm" TargetMode="External"/><Relationship Id="rId4" Type="http://schemas.openxmlformats.org/officeDocument/2006/relationships/hyperlink" Target="https://www.sec.gov/Archives/edgar/data/1042776/000104277611000057/ex31articlessupplementaryo.htm" TargetMode="External"/><Relationship Id="rId5" Type="http://schemas.openxmlformats.org/officeDocument/2006/relationships/hyperlink" Target="https://www.sec.gov/Archives/edgar/data/1042776/000104277616000359/ex31articlessupplementaryt.htm" TargetMode="External"/><Relationship Id="rId6" Type="http://schemas.openxmlformats.org/officeDocument/2006/relationships/hyperlink" Target="https://www.sec.gov/Archives/edgar/data/1042776/000119312518171309/d759625dex31.htm" TargetMode="External"/><Relationship Id="rId7" Type="http://schemas.openxmlformats.org/officeDocument/2006/relationships/hyperlink" Target="https://www.sec.gov/Archives/edgar/data/1042776/000119312525137827/d93588dex31.htm" TargetMode="External"/><Relationship Id="rId8" Type="http://schemas.openxmlformats.org/officeDocument/2006/relationships/hyperlink" Target="https://www.sec.gov/Archives/edgar/data/1042776/000119312525137827/d93588dex32.htm" TargetMode="External"/><Relationship Id="rId9" Type="http://schemas.openxmlformats.org/officeDocument/2006/relationships/hyperlink" Target="https://www.sec.gov/Archives/edgar/data/1042776/000104277626000012/ex221123125.htm"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16682</Words>
  <Characters>93243</Characters>
  <CharactersWithSpaces>108788</CharactersWithSpaces>
  <Paragraphs>2066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