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 </w:t>
      </w:r>
    </w:p>
    <w:p>
      <w:pPr>
        <w:pStyle w:val="TextBody"/>
        <w:bidi w:val="0"/>
        <w:spacing w:lineRule="auto" w:line="204"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  </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152" w:type="dxa"/>
        <w:jc w:val="left"/>
        <w:tblInd w:w="0" w:type="dxa"/>
        <w:tblLayout w:type="fixed"/>
        <w:tblCellMar>
          <w:top w:w="28" w:type="dxa"/>
          <w:left w:w="28" w:type="dxa"/>
          <w:bottom w:w="28" w:type="dxa"/>
          <w:right w:w="28" w:type="dxa"/>
        </w:tblCellMar>
      </w:tblPr>
      <w:tblGrid>
        <w:gridCol w:w="124"/>
        <w:gridCol w:w="109"/>
        <w:gridCol w:w="109"/>
        <w:gridCol w:w="2870"/>
        <w:gridCol w:w="2870"/>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136" w:type="dxa"/>
        <w:jc w:val="center"/>
        <w:tblInd w:w="0" w:type="dxa"/>
        <w:tblLayout w:type="fixed"/>
        <w:tblCellMar>
          <w:top w:w="28" w:type="dxa"/>
          <w:left w:w="28" w:type="dxa"/>
          <w:bottom w:w="28" w:type="dxa"/>
          <w:right w:w="28" w:type="dxa"/>
        </w:tblCellMar>
      </w:tblPr>
      <w:tblGrid>
        <w:gridCol w:w="124"/>
        <w:gridCol w:w="109"/>
        <w:gridCol w:w="109"/>
        <w:gridCol w:w="2868"/>
        <w:gridCol w:w="2868"/>
        <w:gridCol w:w="4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001-34626</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Piedmont Realty Trust,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____________________________________________________ </w:t>
      </w:r>
    </w:p>
    <w:tbl>
      <w:tblPr>
        <w:tblW w:w="7962" w:type="dxa"/>
        <w:jc w:val="center"/>
        <w:tblInd w:w="0" w:type="dxa"/>
        <w:tblLayout w:type="fixed"/>
        <w:tblCellMar>
          <w:top w:w="28" w:type="dxa"/>
          <w:left w:w="28" w:type="dxa"/>
          <w:bottom w:w="28" w:type="dxa"/>
          <w:right w:w="28" w:type="dxa"/>
        </w:tblCellMar>
      </w:tblPr>
      <w:tblGrid>
        <w:gridCol w:w="1648"/>
        <w:gridCol w:w="1450"/>
        <w:gridCol w:w="1462"/>
        <w:gridCol w:w="109"/>
        <w:gridCol w:w="109"/>
        <w:gridCol w:w="109"/>
        <w:gridCol w:w="898"/>
        <w:gridCol w:w="898"/>
        <w:gridCol w:w="1279"/>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58-2328421</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5565 Glenridge Connector Ste. 450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Atlanta, Georgia 30342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(770) 418-8800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761" w:type="dxa"/>
        <w:jc w:val="center"/>
        <w:tblInd w:w="0" w:type="dxa"/>
        <w:tblLayout w:type="fixed"/>
        <w:tblCellMar>
          <w:top w:w="28" w:type="dxa"/>
          <w:left w:w="28" w:type="dxa"/>
          <w:bottom w:w="28" w:type="dxa"/>
          <w:right w:w="28" w:type="dxa"/>
        </w:tblCellMar>
      </w:tblPr>
      <w:tblGrid>
        <w:gridCol w:w="1022"/>
        <w:gridCol w:w="892"/>
        <w:gridCol w:w="905"/>
        <w:gridCol w:w="109"/>
        <w:gridCol w:w="109"/>
        <w:gridCol w:w="109"/>
        <w:gridCol w:w="474"/>
        <w:gridCol w:w="474"/>
        <w:gridCol w:w="476"/>
        <w:gridCol w:w="109"/>
        <w:gridCol w:w="109"/>
        <w:gridCol w:w="109"/>
        <w:gridCol w:w="839"/>
        <w:gridCol w:w="839"/>
        <w:gridCol w:w="1186"/>
      </w:tblGrid>
      <w:tr>
        <w:trPr/>
        <w:tc>
          <w:tcPr>
            <w:tcW w:w="102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r>
      <w:tr>
        <w:trPr/>
        <w:tc>
          <w:tcPr>
            <w:tcW w:w="28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Number of shares outstanding of the Registrant’s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as of July 27,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125,132,825 shares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0"/>
        <w:gridCol w:w="282"/>
        <w:gridCol w:w="284"/>
        <w:gridCol w:w="332"/>
        <w:gridCol w:w="315"/>
        <w:gridCol w:w="291"/>
        <w:gridCol w:w="2549"/>
        <w:gridCol w:w="2497"/>
        <w:gridCol w:w="2521"/>
        <w:gridCol w:w="237"/>
        <w:gridCol w:w="237"/>
        <w:gridCol w:w="340"/>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939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5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6">
              <w:r>
                <w:rPr>
                  <w:rStyle w:val="InternetLink"/>
                  <w:rFonts w:ascii="Times New Roman;serif" w:hAnsi="Times New Roman;serif"/>
                  <w:b w:val="false"/>
                  <w:color w:val="0000FF"/>
                  <w:sz w:val="20"/>
                  <w:u w:val="single"/>
                </w:rPr>
                <w:t>Consolidated Financial Statements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6">
              <w:r>
                <w:rPr>
                  <w:rStyle w:val="InternetLink"/>
                  <w:rFonts w:ascii="Times New Roman;serif" w:hAnsi="Times New Roman;serif"/>
                  <w:b w:val="false"/>
                  <w:color w:val="0000FF"/>
                  <w:sz w:val="20"/>
                  <w:u w:val="singl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9">
              <w:r>
                <w:rPr>
                  <w:rStyle w:val="InternetLink"/>
                  <w:rFonts w:ascii="Times New Roman;serif" w:hAnsi="Times New Roman;serif"/>
                  <w:b w:val="false"/>
                  <w:color w:val="0000FF"/>
                  <w:sz w:val="20"/>
                  <w:u w:val="single"/>
                </w:rPr>
                <w:t>Consolidated Balance Sheets—June 30, 2026 (Unaudited) and December 31, 2025</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9">
              <w:r>
                <w:rPr>
                  <w:rStyle w:val="InternetLink"/>
                  <w:rFonts w:ascii="Times New Roman;serif" w:hAnsi="Times New Roman;serif"/>
                  <w:b w:val="false"/>
                  <w:color w:val="0000FF"/>
                  <w:sz w:val="20"/>
                  <w:u w:val="singl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22">
              <w:r>
                <w:rPr>
                  <w:rStyle w:val="InternetLink"/>
                  <w:rFonts w:ascii="Times New Roman;serif" w:hAnsi="Times New Roman;serif"/>
                  <w:b w:val="false"/>
                  <w:color w:val="0000FF"/>
                  <w:sz w:val="20"/>
                  <w:u w:val="single"/>
                </w:rPr>
                <w:t>Consolidated Statements of Operations (Unaudited) for the Three and Six Months Ended June 30, 2026 and 2025</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22">
              <w:r>
                <w:rPr>
                  <w:rStyle w:val="InternetLink"/>
                  <w:rFonts w:ascii="Times New Roman;serif" w:hAnsi="Times New Roman;serif"/>
                  <w:b w:val="false"/>
                  <w:color w:val="0000FF"/>
                  <w:sz w:val="20"/>
                  <w:u w:val="singl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25">
              <w:r>
                <w:rPr>
                  <w:rStyle w:val="InternetLink"/>
                  <w:rFonts w:ascii="Times New Roman;serif" w:hAnsi="Times New Roman;serif"/>
                  <w:b w:val="false"/>
                  <w:color w:val="0000FF"/>
                  <w:sz w:val="20"/>
                  <w:u w:val="single"/>
                </w:rPr>
                <w:t>Consolidated Statements of Comprehensive Loss (Unaudited) for the Three and Six Months Ended June 30, 2026 and 2025</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25">
              <w:r>
                <w:rPr>
                  <w:rStyle w:val="InternetLink"/>
                  <w:rFonts w:ascii="Times New Roman;serif" w:hAnsi="Times New Roman;serif"/>
                  <w:b w:val="false"/>
                  <w:color w:val="0000FF"/>
                  <w:sz w:val="20"/>
                  <w:u w:val="singl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28">
              <w:r>
                <w:rPr>
                  <w:rStyle w:val="InternetLink"/>
                  <w:rFonts w:ascii="Times New Roman;serif" w:hAnsi="Times New Roman;serif"/>
                  <w:b w:val="false"/>
                  <w:color w:val="0000FF"/>
                  <w:sz w:val="20"/>
                  <w:u w:val="single"/>
                </w:rPr>
                <w:t>Consolidated Statements of Stockholders' Equity (Unaudited) for the Three and Six Months Ended June 30, 2026 and 2025</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28">
              <w:r>
                <w:rPr>
                  <w:rStyle w:val="InternetLink"/>
                  <w:rFonts w:ascii="Times New Roman;serif" w:hAnsi="Times New Roman;serif"/>
                  <w:b w:val="false"/>
                  <w:color w:val="0000FF"/>
                  <w:sz w:val="20"/>
                  <w:u w:val="single"/>
                </w:rPr>
                <w:t>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34">
              <w:r>
                <w:rPr>
                  <w:rStyle w:val="InternetLink"/>
                  <w:rFonts w:ascii="Times New Roman;serif" w:hAnsi="Times New Roman;serif"/>
                  <w:b w:val="false"/>
                  <w:color w:val="0000FF"/>
                  <w:sz w:val="20"/>
                  <w:u w:val="single"/>
                </w:rPr>
                <w:t>Consolidated Statements of Cash Flows (Unaudited) for the Six Months Ended June 30, 2026 and 2025</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34">
              <w:r>
                <w:rPr>
                  <w:rStyle w:val="InternetLink"/>
                  <w:rFonts w:ascii="Times New Roman;serif" w:hAnsi="Times New Roman;serif"/>
                  <w:b w:val="false"/>
                  <w:color w:val="0000FF"/>
                  <w:sz w:val="20"/>
                  <w:u w:val="single"/>
                </w:rPr>
                <w:t>11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37">
              <w:r>
                <w:rPr>
                  <w:rStyle w:val="InternetLink"/>
                  <w:rFonts w:ascii="Times New Roman;serif" w:hAnsi="Times New Roman;serif"/>
                  <w:b w:val="false"/>
                  <w:color w:val="0000FF"/>
                  <w:sz w:val="20"/>
                  <w:u w:val="single"/>
                </w:rPr>
                <w:t>Condensed Notes to Consolidated Financial Statements (Unaudited)</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37">
              <w:r>
                <w:rPr>
                  <w:rStyle w:val="InternetLink"/>
                  <w:rFonts w:ascii="Times New Roman;serif" w:hAnsi="Times New Roman;serif"/>
                  <w:b w:val="false"/>
                  <w:color w:val="0000FF"/>
                  <w:sz w:val="20"/>
                  <w:u w:val="single"/>
                </w:rPr>
                <w:t>12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09">
              <w:r>
                <w:rPr>
                  <w:rStyle w:val="InternetLink"/>
                  <w:rFonts w:ascii="Times New Roman;serif" w:hAnsi="Times New Roman;serif"/>
                  <w:b w:val="false"/>
                  <w:color w:val="0000FF"/>
                  <w:sz w:val="20"/>
                  <w:u w:val="single"/>
                </w:rPr>
                <w:t>25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54">
              <w:r>
                <w:rPr>
                  <w:rStyle w:val="InternetLink"/>
                  <w:rFonts w:ascii="Times New Roman;serif" w:hAnsi="Times New Roman;serif"/>
                  <w:b w:val="false"/>
                  <w:color w:val="0000FF"/>
                  <w:sz w:val="20"/>
                  <w:u w:val="single"/>
                </w:rPr>
                <w:t>Quantitative and Qualitative Disclosures About Market Risk</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54">
              <w:r>
                <w:rPr>
                  <w:rStyle w:val="InternetLink"/>
                  <w:rFonts w:ascii="Times New Roman;serif" w:hAnsi="Times New Roman;serif"/>
                  <w:b w:val="false"/>
                  <w:color w:val="0000FF"/>
                  <w:sz w:val="20"/>
                  <w:u w:val="single"/>
                </w:rPr>
                <w:t>38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57">
              <w:r>
                <w:rPr>
                  <w:rStyle w:val="InternetLink"/>
                  <w:rFonts w:ascii="Times New Roman;serif" w:hAnsi="Times New Roman;serif"/>
                  <w:b w:val="false"/>
                  <w:color w:val="0000FF"/>
                  <w:sz w:val="20"/>
                  <w:u w:val="single"/>
                </w:rPr>
                <w:t>Controls and Procedures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57">
              <w:r>
                <w:rPr>
                  <w:rStyle w:val="InternetLink"/>
                  <w:rFonts w:ascii="Times New Roman;serif" w:hAnsi="Times New Roman;serif"/>
                  <w:b w:val="false"/>
                  <w:color w:val="0000FF"/>
                  <w:sz w:val="20"/>
                  <w:u w:val="single"/>
                </w:rPr>
                <w:t>39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5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63">
              <w:r>
                <w:rPr>
                  <w:rStyle w:val="InternetLink"/>
                  <w:rFonts w:ascii="Times New Roman;serif" w:hAnsi="Times New Roman;serif"/>
                  <w:b w:val="false"/>
                  <w:color w:val="0000FF"/>
                  <w:sz w:val="20"/>
                  <w:u w:val="single"/>
                </w:rPr>
                <w:t>Legal Proceedings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63">
              <w:r>
                <w:rPr>
                  <w:rStyle w:val="InternetLink"/>
                  <w:rFonts w:ascii="Times New Roman;serif" w:hAnsi="Times New Roman;serif"/>
                  <w:b w:val="false"/>
                  <w:color w:val="0000FF"/>
                  <w:sz w:val="20"/>
                  <w:u w:val="single"/>
                </w:rPr>
                <w:t>40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66">
              <w:r>
                <w:rPr>
                  <w:rStyle w:val="InternetLink"/>
                  <w:rFonts w:ascii="Times New Roman;serif" w:hAnsi="Times New Roman;serif"/>
                  <w:b w:val="false"/>
                  <w:color w:val="0000FF"/>
                  <w:sz w:val="20"/>
                  <w:u w:val="single"/>
                </w:rPr>
                <w:t>Risk Factors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66">
              <w:r>
                <w:rPr>
                  <w:rStyle w:val="InternetLink"/>
                  <w:rFonts w:ascii="Times New Roman;serif" w:hAnsi="Times New Roman;serif"/>
                  <w:b w:val="false"/>
                  <w:color w:val="0000FF"/>
                  <w:sz w:val="20"/>
                  <w:u w:val="single"/>
                </w:rPr>
                <w:t>40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69">
              <w:r>
                <w:rPr>
                  <w:rStyle w:val="InternetLink"/>
                  <w:rFonts w:ascii="Times New Roman;serif" w:hAnsi="Times New Roman;serif"/>
                  <w:b w:val="false"/>
                  <w:color w:val="0000FF"/>
                  <w:sz w:val="20"/>
                  <w:u w:val="single"/>
                </w:rPr>
                <w:t>Unregistered Sales of Equity Securities and Use of Proceeds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69">
              <w:r>
                <w:rPr>
                  <w:rStyle w:val="InternetLink"/>
                  <w:rFonts w:ascii="Times New Roman;serif" w:hAnsi="Times New Roman;serif"/>
                  <w:b w:val="false"/>
                  <w:color w:val="0000FF"/>
                  <w:sz w:val="20"/>
                  <w:u w:val="single"/>
                </w:rPr>
                <w:t>40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72">
              <w:r>
                <w:rPr>
                  <w:rStyle w:val="InternetLink"/>
                  <w:rFonts w:ascii="Times New Roman;serif" w:hAnsi="Times New Roman;serif"/>
                  <w:b w:val="false"/>
                  <w:color w:val="0000FF"/>
                  <w:sz w:val="20"/>
                  <w:u w:val="single"/>
                </w:rPr>
                <w:t>Defaults Upon Senior Securities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72">
              <w:r>
                <w:rPr>
                  <w:rStyle w:val="InternetLink"/>
                  <w:rFonts w:ascii="Times New Roman;serif" w:hAnsi="Times New Roman;serif"/>
                  <w:b w:val="false"/>
                  <w:color w:val="0000FF"/>
                  <w:sz w:val="20"/>
                  <w:u w:val="single"/>
                </w:rPr>
                <w:t>40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75">
              <w:r>
                <w:rPr>
                  <w:rStyle w:val="InternetLink"/>
                  <w:rFonts w:ascii="Times New Roman;serif" w:hAnsi="Times New Roman;serif"/>
                  <w:b w:val="false"/>
                  <w:color w:val="0000FF"/>
                  <w:sz w:val="20"/>
                  <w:u w:val="single"/>
                </w:rPr>
                <w:t>Mine Safety Disclosures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75">
              <w:r>
                <w:rPr>
                  <w:rStyle w:val="InternetLink"/>
                  <w:rFonts w:ascii="Times New Roman;serif" w:hAnsi="Times New Roman;serif"/>
                  <w:b w:val="false"/>
                  <w:color w:val="0000FF"/>
                  <w:sz w:val="20"/>
                  <w:u w:val="single"/>
                </w:rPr>
                <w:t>40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78">
              <w:r>
                <w:rPr>
                  <w:rStyle w:val="InternetLink"/>
                  <w:rFonts w:ascii="Times New Roman;serif" w:hAnsi="Times New Roman;serif"/>
                  <w:b w:val="false"/>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78">
              <w:r>
                <w:rPr>
                  <w:rStyle w:val="InternetLink"/>
                  <w:rFonts w:ascii="Times New Roman;serif" w:hAnsi="Times New Roman;serif"/>
                  <w:b w:val="false"/>
                  <w:color w:val="0000FF"/>
                  <w:sz w:val="20"/>
                  <w:u w:val="single"/>
                </w:rPr>
                <w:t>40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81">
              <w:r>
                <w:rPr>
                  <w:rStyle w:val="InternetLink"/>
                  <w:rFonts w:ascii="Times New Roman;serif" w:hAnsi="Times New Roman;serif"/>
                  <w:b w:val="false"/>
                  <w:color w:val="0000FF"/>
                  <w:sz w:val="20"/>
                  <w:u w:val="single"/>
                </w:rPr>
                <w:t>Exhibits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81">
              <w:r>
                <w:rPr>
                  <w:rStyle w:val="InternetLink"/>
                  <w:rFonts w:ascii="Times New Roman;serif" w:hAnsi="Times New Roman;serif"/>
                  <w:b w:val="false"/>
                  <w:color w:val="0000FF"/>
                  <w:sz w:val="20"/>
                  <w:u w:val="single"/>
                </w:rPr>
                <w:t>41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4037a9e9c3497ea345c062eac82108_184">
              <w:r>
                <w:rPr>
                  <w:rStyle w:val="InternetLink"/>
                  <w:rFonts w:ascii="Times New Roman;serif" w:hAnsi="Times New Roman;serif"/>
                  <w:b w:val="false"/>
                  <w:color w:val="0000FF"/>
                  <w:sz w:val="20"/>
                  <w:u w:val="single"/>
                </w:rPr>
                <w:t>Signatures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4037a9e9c3497ea345c062eac82108_184">
              <w:r>
                <w:rPr>
                  <w:rStyle w:val="InternetLink"/>
                  <w:rFonts w:ascii="Times New Roman;serif" w:hAnsi="Times New Roman;serif"/>
                  <w:b w:val="false"/>
                  <w:color w:val="0000FF"/>
                  <w:sz w:val="20"/>
                  <w:u w:val="single"/>
                </w:rPr>
                <w:t>42</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Form 10-Q may constitute forward-looking statements within the meaning of the federal securities laws. In addition, Piedmont Realty Trust, Inc. ("Piedmont," "we," "our," or "us"), or our executive officers on our behalf, may from time to time make forward-looking statements in reports and other documents we file with the Securities and Exchange Commission or in connection with other written or oral statements made to the press, potential investors, or others. Statements regarding future events and developments and our future performance, as well as management’s expectations, beliefs, plans, estimates, or projections relating to the future, are forward-looking statements. Forward-looking statements include statements preceded by, followed by, or that include the words “may,” “will,” “expect,” “intend,” “anticipate,” “estimate,” “believe,” “continue,” or other similar words. Examples of such statements in this report include descriptions of our real estate, financing, and operating objectives; discussions regarding future dividends; and discussions regarding potential acquisition and disposition activity and the potential impact of economic conditions on our real estate and lease portfolio, among others.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statements are based on beliefs and assumptions of our management, which in turn are based on information available at the time the statements are made. Important assumptions relating to the forward-looking statements include, among others, assumptions regarding the demand for office space in the markets in which we operate, competitive conditions, and general economic conditions. These assumptions could prove inaccurate. The forward-looking statements also involve certain known and unknown risks and uncertainties, which could cause actual results to differ materially from those contained in any forward-looking statement. Many of these factors are beyond our ability to control or predict. Such factors include, but are not limited to, the following: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competition on our efforts to renew existing leases or re-let space on terms similar to existing leases;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Lease terminations, lease defaults, lease contractions, or changes in the financial condition of our tenants, particularly by one of our large tenants;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charges on our long-lived assets or goodwill resulting therefrom;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 of our real estate strategies and investment objectives, including our ability to implement successful redevelopment and development strategies or identify and consummate suitable acquisitions and divestitures;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and uncertainties associated with our acquisition and disposition of properties, many of which risks and uncertainties may not be known at the time of acquisition or disposition;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 and construction delays, including the potential of supply chain disruptions, and resultant increased costs and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acts of terrorism, civil unrest, or armed hostilities in any of the major metropolitan areas in which we own properties;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of complying with governmental laws, regulations and policies, including environmental standards imposed on office building owners;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Uninsured losses or losses in excess of our insurance coverage, and our inability to obtain adequate insurance coverage at a reasonable cost;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price and volume fluctuations in the public markets, including on the exchange on which we listed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incurring mortgage and other indebtedness, including changing capital reserve requirements on our lenders and rising interest rates for new debt financings;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downgrade in our credit ratings, the credit ratings of Piedmont Operating Partnership, L.P. ("Piedmont OP") or the credit ratings of our or Piedmont OP's unsecured debt securities, which could, among other effects, trigger an increase in the stated rate of one or more of our unsecured debt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future offerings of debt or equity securities on the value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Uncertainties associated with environmental and regulatory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any litigation to which we are, or may become, subject;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risks and costs associated with owning properties occupied by tenants in particular industries, such as oil and gas, hospitality, travel, co-working, etc., including risks of default during start-up and during economic downturns;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impacting REITs and real estate in general, as well as our ability to continue to qualify as a REIT under the Internal Revenue Code of 1986, as amended (the “Code”), or other tax law changes which may adversely affect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future effectiveness of our internal controls and procedures;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factors, including the risk factors discussed under Item 1A. of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these forward-looking statements are reasonable; however, undue reliance should not be placed on any forward-looking statements, which are based on current expectations. Further, forward-looking statements speak only as of the date they are made, and management undertakes no obligation to update publicly any of them in light of new information or future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Regarding Disclosures Presented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Annualized Lease Revenue ("ALR") is calculated by multiplying (i) current rental payments (defined as base rent plus operating expense reimbursements, if payable by the tenant on a monthly basis under the terms of a lease that has been executed, but excluding (a) rental abatements and (b) rental payments related to executed but not commenced leases for space that was covered by an existing lease), by (ii) 12. In instances in which contractual rents or operating expense reimbursements are collected on an annual, semi-annual, or quarterly basis, such amounts are multiplied by a factor of 1, 2, or 4, respectively, to calculate the annualized figure. For leases that have been executed but not commenced relating to unleased space, ALR is calculated by multiplying (i) the monthly base rental payment (excluding abatements) plus any operating expense reimbursements for the initial month of the lease term, by (ii) 12. Unless stated otherwise, this measure excludes revenues associated with development properties and properties taken out of service for redevelopment,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CONSOLIDATED FINANCIAL STATEMENTS.</w:t>
      </w:r>
    </w:p>
    <w:p>
      <w:pPr>
        <w:pStyle w:val="TextBody"/>
        <w:bidi w:val="0"/>
        <w:spacing w:before="0" w:after="0"/>
        <w:ind w:left="0" w:right="0" w:hanging="7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accompanying consolidated balance sheets and related consolidated statements of operations, comprehensive loss, stockholders’ equity, and cash flows reflects all adjustments that are, in management’s opinion, necessary for a fair and consistent presentation of financial position, results of operations, and cash flows in accordance with generally accepted accounting principles ("GAAP").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should be read in conjunction with the notes to Piedmont’s financial statements and Management’s Discussion and Analysis of Financial Condition and Results of Operations included in this report on Form 10-Q and with Piedmont’s Annual Report on Form 10-K for the year ended December 31, 2025. Piedmont’s results of operations for the six months ended June 30, 2026 are not necessarily indicative of the operating results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tbl>
      <w:tblPr>
        <w:tblW w:w="10205" w:type="dxa"/>
        <w:jc w:val="center"/>
        <w:tblInd w:w="0" w:type="dxa"/>
        <w:tblLayout w:type="fixed"/>
        <w:tblCellMar>
          <w:top w:w="28" w:type="dxa"/>
          <w:left w:w="28" w:type="dxa"/>
          <w:bottom w:w="28" w:type="dxa"/>
          <w:right w:w="28" w:type="dxa"/>
        </w:tblCellMar>
      </w:tblPr>
      <w:tblGrid>
        <w:gridCol w:w="2880"/>
        <w:gridCol w:w="2167"/>
        <w:gridCol w:w="2177"/>
        <w:gridCol w:w="211"/>
        <w:gridCol w:w="991"/>
        <w:gridCol w:w="109"/>
        <w:gridCol w:w="109"/>
        <w:gridCol w:w="109"/>
        <w:gridCol w:w="109"/>
        <w:gridCol w:w="211"/>
        <w:gridCol w:w="976"/>
        <w:gridCol w:w="156"/>
      </w:tblGrid>
      <w:tr>
        <w:trPr/>
        <w:tc>
          <w:tcPr>
            <w:tcW w:w="288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at cost:</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542,474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542,474 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Buildings and improvements, less accumulated depreciation of $1,345,832 and $1,278,600 as of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2,779,052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lease assets, less accumulated amortization of $65,398 and $73,824 as of June 30, 2026 and December 31, 2025, respectively</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37,239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held for sale, net</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assets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3,408,733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3,421,709 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Tenant receivables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receivables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219,636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214,285 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escrows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24,120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lease costs, less accumulated amortization of $219,933 and $209,155 as of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4,047,982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4,031,354 </w:t>
            </w:r>
          </w:p>
        </w:tc>
        <w:tc>
          <w:tcPr>
            <w:tcW w:w="1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Unsecured debt, net of unamortized discount and debt issuance costs of $23,287 and $23,368 as of June 30, 2026 and December 31, 2025, respectively</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2,063,971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2,035,890 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Secured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accrued capital expenditures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185,339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172,880 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lease liabilities, less accumulated amortization of $29,934 and $35,036 as of June 30, 2026 and December 31, 2025, respectively</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21,216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2,572,988</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2,534,651 </w:t>
            </w:r>
          </w:p>
        </w:tc>
        <w:tc>
          <w:tcPr>
            <w:tcW w:w="1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Commitments and Contingencies (</w:t>
            </w:r>
            <w:hyperlink w:anchor="ia14037a9e9c3497ea345c062eac82108_67">
              <w:r>
                <w:rPr>
                  <w:rStyle w:val="InternetLink"/>
                  <w:rFonts w:ascii="Times New Roman;serif" w:hAnsi="Times New Roman;serif"/>
                  <w:b/>
                  <w:color w:val="0000FF"/>
                  <w:sz w:val="20"/>
                  <w:u w:val="single"/>
                </w:rPr>
                <w:t>Note 7</w:t>
              </w:r>
            </w:hyperlink>
            <w:r>
              <w:rPr>
                <w:rFonts w:ascii="Times New Roman;serif" w:hAnsi="Times New Roman;serif"/>
                <w:b/>
                <w:color w:val="000000"/>
                <w:sz w:val="20"/>
              </w:rPr>
              <w: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Shares-in-trust, 150,000,000 shares authorized; none outstanding as of June 30, 2026 or December 31, 2025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100,000,000 shares authorized; none outstanding as of June 30, 2026 or December 31, 2025</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750,000,000 shares authorized; 125,132,825 and 124,519,278 shares issued and outstanding as of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3,730,985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3,730,273 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distributions in excess of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(7,368)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Piedmont stockholders’ equity</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1,473,497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0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1,497</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1,474,994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4,047,982</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4,031,354 </w:t>
            </w:r>
          </w:p>
        </w:tc>
        <w:tc>
          <w:tcPr>
            <w:tcW w:w="15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35"/>
        <w:gridCol w:w="1209"/>
        <w:gridCol w:w="1224"/>
        <w:gridCol w:w="240"/>
        <w:gridCol w:w="961"/>
        <w:gridCol w:w="109"/>
        <w:gridCol w:w="109"/>
        <w:gridCol w:w="109"/>
        <w:gridCol w:w="109"/>
        <w:gridCol w:w="241"/>
        <w:gridCol w:w="945"/>
        <w:gridCol w:w="109"/>
        <w:gridCol w:w="109"/>
        <w:gridCol w:w="109"/>
        <w:gridCol w:w="109"/>
        <w:gridCol w:w="240"/>
        <w:gridCol w:w="961"/>
        <w:gridCol w:w="109"/>
        <w:gridCol w:w="109"/>
        <w:gridCol w:w="109"/>
        <w:gridCol w:w="109"/>
        <w:gridCol w:w="241"/>
        <w:gridCol w:w="945"/>
        <w:gridCol w:w="155"/>
      </w:tblGrid>
      <w:tr>
        <w:trPr/>
        <w:tc>
          <w:tcPr>
            <w:tcW w:w="153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tenant reimbursement revenue</w:t>
            </w:r>
          </w:p>
        </w:tc>
        <w:tc>
          <w:tcPr>
            <w:tcW w:w="240"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137,265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273,706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270,018 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related income</w:t>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144,123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287,417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costs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88,852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81,539 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248,040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240,792 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3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(31,685)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(63,389)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0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(11,097)</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(16,806)</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(24,012)</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(26,904)</w:t>
            </w:r>
          </w:p>
        </w:tc>
        <w:tc>
          <w:tcPr>
            <w:tcW w:w="15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applicable to noncontrolling interest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w:t>
            </w:r>
          </w:p>
        </w:tc>
        <w:tc>
          <w:tcPr>
            <w:tcW w:w="24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5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information – basic and diluted:</w:t>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stockholders</w:t>
            </w:r>
          </w:p>
        </w:tc>
        <w:tc>
          <w:tcPr>
            <w:tcW w:w="240"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 – basic and diluted</w:t>
            </w:r>
          </w:p>
        </w:tc>
        <w:tc>
          <w:tcPr>
            <w:tcW w:w="120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125,081,542</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124,458,941 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124,944,559</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124,359,010 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rPr/>
      </w:pPr>
      <w:r>
        <w:rPr/>
      </w:r>
    </w:p>
    <w:tbl>
      <w:tblPr>
        <w:tblW w:w="10434" w:type="dxa"/>
        <w:jc w:val="center"/>
        <w:tblInd w:w="0" w:type="dxa"/>
        <w:tblLayout w:type="fixed"/>
        <w:tblCellMar>
          <w:top w:w="28" w:type="dxa"/>
          <w:left w:w="28" w:type="dxa"/>
          <w:bottom w:w="28" w:type="dxa"/>
          <w:right w:w="28" w:type="dxa"/>
        </w:tblCellMar>
      </w:tblPr>
      <w:tblGrid>
        <w:gridCol w:w="754"/>
        <w:gridCol w:w="320"/>
        <w:gridCol w:w="322"/>
        <w:gridCol w:w="240"/>
        <w:gridCol w:w="241"/>
        <w:gridCol w:w="109"/>
        <w:gridCol w:w="109"/>
        <w:gridCol w:w="109"/>
        <w:gridCol w:w="109"/>
        <w:gridCol w:w="211"/>
        <w:gridCol w:w="736"/>
        <w:gridCol w:w="109"/>
        <w:gridCol w:w="109"/>
        <w:gridCol w:w="109"/>
        <w:gridCol w:w="109"/>
        <w:gridCol w:w="233"/>
        <w:gridCol w:w="233"/>
        <w:gridCol w:w="109"/>
        <w:gridCol w:w="109"/>
        <w:gridCol w:w="109"/>
        <w:gridCol w:w="109"/>
        <w:gridCol w:w="211"/>
        <w:gridCol w:w="736"/>
        <w:gridCol w:w="109"/>
        <w:gridCol w:w="109"/>
        <w:gridCol w:w="109"/>
        <w:gridCol w:w="109"/>
        <w:gridCol w:w="314"/>
        <w:gridCol w:w="317"/>
        <w:gridCol w:w="109"/>
        <w:gridCol w:w="109"/>
        <w:gridCol w:w="109"/>
        <w:gridCol w:w="109"/>
        <w:gridCol w:w="211"/>
        <w:gridCol w:w="736"/>
        <w:gridCol w:w="109"/>
        <w:gridCol w:w="109"/>
        <w:gridCol w:w="109"/>
        <w:gridCol w:w="109"/>
        <w:gridCol w:w="233"/>
        <w:gridCol w:w="233"/>
        <w:gridCol w:w="109"/>
        <w:gridCol w:w="109"/>
        <w:gridCol w:w="109"/>
        <w:gridCol w:w="109"/>
        <w:gridCol w:w="211"/>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w:t>
            </w:r>
          </w:p>
        </w:tc>
        <w:tc>
          <w:tcPr>
            <w:tcW w:w="59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Effective portion of gain on derivative instruments that are designated and qualify as cash flow hedges (See </w:t>
            </w:r>
            <w:hyperlink w:anchor="ia14037a9e9c3497ea345c062eac82108_55">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Reclassification of net loss included in net loss (See </w:t>
            </w:r>
            <w:hyperlink w:anchor="ia14037a9e9c3497ea345c062eac82108_55">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590"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Comprehensive loss applicable to Piedmont</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MONTHS ENDED JUNE 30, 2026 AND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before="0" w:after="0"/>
        <w:jc w:val="center"/>
        <w:rPr/>
      </w:pPr>
      <w:r>
        <w:rPr/>
      </w:r>
    </w:p>
    <w:tbl>
      <w:tblPr>
        <w:tblW w:w="11386" w:type="dxa"/>
        <w:jc w:val="center"/>
        <w:tblInd w:w="0" w:type="dxa"/>
        <w:tblLayout w:type="fixed"/>
        <w:tblCellMar>
          <w:top w:w="28" w:type="dxa"/>
          <w:left w:w="28" w:type="dxa"/>
          <w:bottom w:w="28" w:type="dxa"/>
          <w:right w:w="28" w:type="dxa"/>
        </w:tblCellMar>
      </w:tblPr>
      <w:tblGrid>
        <w:gridCol w:w="697"/>
        <w:gridCol w:w="244"/>
        <w:gridCol w:w="245"/>
        <w:gridCol w:w="420"/>
        <w:gridCol w:w="421"/>
        <w:gridCol w:w="211"/>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60"/>
        <w:gridCol w:w="910"/>
        <w:gridCol w:w="136"/>
        <w:gridCol w:w="109"/>
        <w:gridCol w:w="109"/>
        <w:gridCol w:w="109"/>
        <w:gridCol w:w="211"/>
        <w:gridCol w:w="631"/>
        <w:gridCol w:w="109"/>
        <w:gridCol w:w="109"/>
        <w:gridCol w:w="109"/>
        <w:gridCol w:w="109"/>
        <w:gridCol w:w="211"/>
        <w:gridCol w:w="99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w:t>
              <w:br/>
              <w:t>Distributions</w:t>
              <w:br/>
              <w:t>in Excess of</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w:t>
              <w:br/>
              <w:t>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125,019</w:t>
            </w: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3,728,827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(2,240,270)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(8,380)</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1,482,926</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to stockholders of subsidiaries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and amortized pursuant to equity incentive plan, net of tax</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2,395</w:t>
            </w: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noncontrolling interest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Piedmont</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84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125,133</w:t>
            </w:r>
            <w:r>
              <w:rPr>
                <w:color w:val="000000"/>
              </w:rPr>
              <w:t> </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3,730,985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(2,251,371)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(7,368)</w:t>
            </w:r>
          </w:p>
        </w:tc>
        <w:tc>
          <w:tcPr>
            <w:tcW w:w="13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1,497</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1,474,994</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w:t>
              <w:br/>
              <w:t>Distributions</w:t>
              <w:br/>
              <w:t>in Excess of</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w:t>
              <w:br/>
              <w:t>controlling</w:t>
              <w:br/>
              <w:t>Interest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84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124,408 </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3,723,373 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(2,153,834)</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13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1,561,731 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to stockholders of subsidiaries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and amortized pursuant to equity incentive plan, net of tax</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noncontrolling interest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Piedmont</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841" w:type="dxa"/>
            <w:gridSpan w:val="2"/>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124,492 </w:t>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3,725,769 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(2,170,642)</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3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1,548,010 </w:t>
            </w:r>
          </w:p>
        </w:tc>
        <w:tc>
          <w:tcPr>
            <w:tcW w:w="154"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before="0" w:after="0"/>
        <w:jc w:val="center"/>
        <w:rPr/>
      </w:pPr>
      <w:r>
        <w:rPr/>
      </w:r>
    </w:p>
    <w:tbl>
      <w:tblPr>
        <w:tblW w:w="11386" w:type="dxa"/>
        <w:jc w:val="center"/>
        <w:tblInd w:w="0" w:type="dxa"/>
        <w:tblLayout w:type="fixed"/>
        <w:tblCellMar>
          <w:top w:w="28" w:type="dxa"/>
          <w:left w:w="28" w:type="dxa"/>
          <w:bottom w:w="28" w:type="dxa"/>
          <w:right w:w="28" w:type="dxa"/>
        </w:tblCellMar>
      </w:tblPr>
      <w:tblGrid>
        <w:gridCol w:w="697"/>
        <w:gridCol w:w="244"/>
        <w:gridCol w:w="245"/>
        <w:gridCol w:w="420"/>
        <w:gridCol w:w="421"/>
        <w:gridCol w:w="211"/>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89"/>
        <w:gridCol w:w="866"/>
        <w:gridCol w:w="151"/>
        <w:gridCol w:w="109"/>
        <w:gridCol w:w="109"/>
        <w:gridCol w:w="109"/>
        <w:gridCol w:w="211"/>
        <w:gridCol w:w="631"/>
        <w:gridCol w:w="109"/>
        <w:gridCol w:w="109"/>
        <w:gridCol w:w="109"/>
        <w:gridCol w:w="109"/>
        <w:gridCol w:w="211"/>
        <w:gridCol w:w="99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 Distributions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 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84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124,519</w:t>
            </w:r>
            <w:r>
              <w:rPr>
                <w:color w:val="000000"/>
              </w:rPr>
              <w:t> </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3,730,273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(2,227,350)</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(8,967)</w:t>
            </w:r>
          </w:p>
        </w:tc>
        <w:tc>
          <w:tcPr>
            <w:tcW w:w="15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1,496,703</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stockholders of subsidiaries</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and amortized pursuant to equity incentive plan, net of tax</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noncontrolling interest</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Piedmont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w:t>
            </w:r>
            <w:r>
              <w:rPr>
                <w:color w:val="000000"/>
              </w:rPr>
              <w:t> </w:t>
            </w:r>
          </w:p>
        </w:tc>
        <w:tc>
          <w:tcPr>
            <w:tcW w:w="1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w:t>
            </w: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125,133</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3,730,985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(2,251,371)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(7,368)</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1,474,994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311" w:type="dxa"/>
        <w:jc w:val="center"/>
        <w:tblInd w:w="0" w:type="dxa"/>
        <w:tblLayout w:type="fixed"/>
        <w:tblCellMar>
          <w:top w:w="28" w:type="dxa"/>
          <w:left w:w="28" w:type="dxa"/>
          <w:bottom w:w="28" w:type="dxa"/>
          <w:right w:w="28" w:type="dxa"/>
        </w:tblCellMar>
      </w:tblPr>
      <w:tblGrid>
        <w:gridCol w:w="697"/>
        <w:gridCol w:w="244"/>
        <w:gridCol w:w="245"/>
        <w:gridCol w:w="413"/>
        <w:gridCol w:w="413"/>
        <w:gridCol w:w="211"/>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60"/>
        <w:gridCol w:w="910"/>
        <w:gridCol w:w="136"/>
        <w:gridCol w:w="109"/>
        <w:gridCol w:w="109"/>
        <w:gridCol w:w="109"/>
        <w:gridCol w:w="211"/>
        <w:gridCol w:w="616"/>
        <w:gridCol w:w="109"/>
        <w:gridCol w:w="109"/>
        <w:gridCol w:w="109"/>
        <w:gridCol w:w="109"/>
        <w:gridCol w:w="211"/>
        <w:gridCol w:w="97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 Distributions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 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82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124,083 </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3,723,680 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(2,128,194)</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w:t>
            </w:r>
          </w:p>
        </w:tc>
        <w:tc>
          <w:tcPr>
            <w:tcW w:w="13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1,588,127 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to common stockholders ($0.125 per share) and stockholders of subsidiaries</w:t>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(15,556)</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and amortized pursuant to equity incentive plan, net of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noncontrolling interest</w:t>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Piedmont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124,492 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3,725,769 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PIEDMONT REALTY TRUST,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 (UNAUDITED)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w:t>
      </w:r>
    </w:p>
    <w:tbl>
      <w:tblPr>
        <w:tblW w:w="8754" w:type="dxa"/>
        <w:jc w:val="center"/>
        <w:tblInd w:w="0" w:type="dxa"/>
        <w:tblLayout w:type="fixed"/>
        <w:tblCellMar>
          <w:top w:w="28" w:type="dxa"/>
          <w:left w:w="28" w:type="dxa"/>
          <w:bottom w:w="28" w:type="dxa"/>
          <w:right w:w="28" w:type="dxa"/>
        </w:tblCellMar>
      </w:tblPr>
      <w:tblGrid>
        <w:gridCol w:w="2290"/>
        <w:gridCol w:w="2016"/>
        <w:gridCol w:w="2024"/>
        <w:gridCol w:w="196"/>
        <w:gridCol w:w="721"/>
        <w:gridCol w:w="109"/>
        <w:gridCol w:w="109"/>
        <w:gridCol w:w="109"/>
        <w:gridCol w:w="109"/>
        <w:gridCol w:w="196"/>
        <w:gridCol w:w="72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(24,012)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88,852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81,539 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inclusive of settled interest rate swaps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30,873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28,339 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4,685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tenant and straight-line rent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prepaid expenses and other assets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(3,760)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deferred income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(7,615)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(12,261)</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92,454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proceeds from wholly-owned properties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lease costs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(93,952)</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(71,039)</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other costs paid</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(160,857)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(530,322)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paid to repurchase senior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shares withheld for payment of taxes related to employee stock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(30,854)</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financing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increase/(decrease) in cash, cash equivalents, and restricted cash and escrows</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17,955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(106,067)</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and escrows,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and escrows, end of period</w:t>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21,746</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7,815 </w:t>
            </w:r>
          </w:p>
        </w:tc>
        <w:tc>
          <w:tcPr>
            <w:tcW w:w="154"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Realty Trust, Inc. (“Piedmont”) (NYSE: PDM) is a Maryland corporation that operates in a manner so as to qualify as a real estate investment trust (“REIT”) for federal income tax purposes and engages in the ownership, management, development, redevelopment, and operation of high-quality, Class A office properties located primarily in major U.S. Sunbelt markets. Piedmont was incorporated in 1997 and commenced operations in 1998. Piedmont conducts business through its wholly-owned subsidiary, Piedmont Operating Partnership, L.P. (“Piedmont OP”), a Delaware limited partnership. Piedmont OP owns properties directly, through wholly-owned subsidiaries, and through various joint ventures which it controls. References to Piedmont herein shall include Piedmont and all of its subsidiaries, including Piedmont OP and its subsidiaries and joint ventures.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Piedmont owned and operated a portfolio comprised of 29 in-service projects and two redevelopment projects. The in-service office projects total approximately 15.1 million square feet (unaudited) of primarily Class A office space and were 88.9% leased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Piedmont are prepared in accordance with the rules and regulations of the Securities and Exchange Commission (the “SEC”), including the instructions to Form 10-Q and Article 10 of Regulation S-X, and do not include all of the information and footnotes required by GAAP for complete financial statements. In the opinion of management, the statements for the unaudited interim periods presented include all adjustments, which are of a normal and recurring nature, necessary for a fair presentation of the results for such periods. Results for these interim periods are not necessarily indicative of a full year’s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Piedmont’s consolidated financial statements include the accounts of Piedmont, Piedmont’s wholly-owned subsidiaries, any variable interest entity ("VIE") of which Piedmont or any of its wholly-owned subsidiaries is considered to have the power to direct the activities of the entity and the obligation to absorb losses/right to receive benefits, or any entity in which Piedmont or any of its wholly-owned subsidiaries owns a controlling interest. In determining whether Piedmont or Piedmont OP has a controlling interest, the following factors, among others, are considered: equity ownership, voting rights, protective rights of investors, and participatory rights of investors. For further information, refer to the financial statements and footnotes included in Piedmont’s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have been eliminated upon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Piedmont has formed special purpose entities to acquire and hold real estate. Each special purpose entity is a separate legal entity. Consequently, the assets of these special purpose entities are not available to all creditors of Piedmont. The assets owned by these special purpose entities are being reported on a consolidated basis with Piedmont’s assets for financial reporting purposes only.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accompanying consolidated financial statements in conformity with GAAP requires management to make estimates and assumptions that affect the amounts reported in the accompanying consolidated financial statements and notes. The most significant of these estimates include the underlying cash flows and holding periods used in assessing impairment, judgments regarding the recoverability of goodwill, and the assessment of the collectability of receivables. While Piedmont has made, what it believes to be, appropriate accounting estimates based on the facts and circumstances available as of the reporting date, actual results could differ materially from those estimates.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has elected to be taxed as a REIT under the Internal Revenue Code of 1986, as amended, and has operated as such, beginning with its taxable year ended December 31, 1998. To qualify as a REIT, Piedmont must meet certain organizational and operational requirements, including a requirement to distribute at least 90% of its annual REIT taxable income. As a REIT, Piedmont is generally not subject to federal income taxes, subject to fulfilling, among other things, its taxable income distribution requirement. Piedmont is subject to certain taxes related to the operations of projects in certain locations, as well as operations conducted by its taxable REIT subsidiary which have been provided for in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recognized the following fixed and variable lease payments, which together comprised rental and tenant reimbursement revenue in the accompanying consolidated statements of operations for the three and six months ended June 30, 2026 and 2025, respectively, as follows (in thousands):</w:t>
      </w:r>
    </w:p>
    <w:p>
      <w:pPr>
        <w:pStyle w:val="TextBody"/>
        <w:bidi w:val="0"/>
        <w:spacing w:before="0" w:after="0"/>
        <w:jc w:val="both"/>
        <w:rPr/>
      </w:pPr>
      <w:r>
        <w:rPr/>
      </w:r>
    </w:p>
    <w:tbl>
      <w:tblPr>
        <w:tblW w:w="9825" w:type="dxa"/>
        <w:jc w:val="center"/>
        <w:tblInd w:w="0" w:type="dxa"/>
        <w:tblLayout w:type="fixed"/>
        <w:tblCellMar>
          <w:top w:w="28" w:type="dxa"/>
          <w:left w:w="28" w:type="dxa"/>
          <w:bottom w:w="28" w:type="dxa"/>
          <w:right w:w="28" w:type="dxa"/>
        </w:tblCellMar>
      </w:tblPr>
      <w:tblGrid>
        <w:gridCol w:w="1514"/>
        <w:gridCol w:w="1332"/>
        <w:gridCol w:w="1339"/>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1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payments</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115,375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111,130 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228,768</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222,906 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payments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Rental and Tenant Reimbursement Revenue</w:t>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137,265</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133,954 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273,706</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270,018 </w:t>
            </w:r>
          </w:p>
        </w:tc>
        <w:tc>
          <w:tcPr>
            <w:tcW w:w="154"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Statement Expense Disaggregation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FASB has issued Accounting Standards Update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ASU 2024-03 aims to enhance the transparency and presentation of income statement expenses in response to increasing demand from investors and other stakeholders for greater clarity and comparability surrounding the nature and composition of an entity's expenses. The amendments of ASU 2024-03 require tabular disclosure of certain cost and expense information, such as employee compensation, in the footnotes to the financial statements. ASU 2024-03 is effective for Piedmont beginning with the Form 10-K for the year ended December 31, 2027, and subsequent interim periods beginning in calendar-year 2028. Piedmont is currently evaluating the potential impact of adoption; however, Piedmont does not anticipate any material impact to its consolidated financial statements as a result of adoption of ASU 2024-03.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Piedmont amended the $325 million Unsecured 2024 Term Loan (as amended, the "$400 Million Unsecured 2026 Term Loan") to, among other things, increase the principal amount from $325 million to $400 million and extend the maturity date to May 28, 2031. Subject to certain conditions, Piedmont may prepay the loans outstanding under the $400 Million Unsecured 2026 Term Loan, in whole or in part, at any time without premium or penalty. Additionally, the terms of the amendment provide for an increase or decrease to Piedmont’s debt rating and Total Leverage Ratio (as defined in the term loan agreement) as the basis for determining the applicable interest rate, ranging from 0.75% to 1.55%. The net proceeds from the $400 Million Unsecured 2026 Term Loan were used to repay the outstanding balance under Piedmont's $600 Million Unsecured 2022 Line of Credit, with the remainder used for general corporate purposes.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terms of Piedmont’s consolidated indebtedness outstanding as of June 30, 2026 and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7"/>
        <w:gridCol w:w="826"/>
        <w:gridCol w:w="808"/>
        <w:gridCol w:w="109"/>
        <w:gridCol w:w="109"/>
        <w:gridCol w:w="109"/>
        <w:gridCol w:w="296"/>
        <w:gridCol w:w="297"/>
        <w:gridCol w:w="525"/>
        <w:gridCol w:w="109"/>
        <w:gridCol w:w="109"/>
        <w:gridCol w:w="109"/>
        <w:gridCol w:w="290"/>
        <w:gridCol w:w="259"/>
        <w:gridCol w:w="588"/>
        <w:gridCol w:w="109"/>
        <w:gridCol w:w="109"/>
        <w:gridCol w:w="109"/>
        <w:gridCol w:w="290"/>
        <w:gridCol w:w="290"/>
        <w:gridCol w:w="292"/>
        <w:gridCol w:w="109"/>
        <w:gridCol w:w="109"/>
        <w:gridCol w:w="109"/>
        <w:gridCol w:w="211"/>
        <w:gridCol w:w="991"/>
        <w:gridCol w:w="109"/>
        <w:gridCol w:w="109"/>
        <w:gridCol w:w="109"/>
        <w:gridCol w:w="109"/>
        <w:gridCol w:w="228"/>
        <w:gridCol w:w="1059"/>
        <w:gridCol w:w="174"/>
      </w:tblGrid>
      <w:tr>
        <w:trPr/>
        <w:tc>
          <w:tcPr>
            <w:tcW w:w="10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7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Facility </w:t>
            </w:r>
            <w:r>
              <w:rPr>
                <w:rFonts w:ascii="Times New Roman;serif" w:hAnsi="Times New Roman;serif"/>
                <w:b/>
                <w:color w:val="000000"/>
                <w:sz w:val="10"/>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Stated Rate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Effective Rate </w:t>
            </w:r>
            <w:r>
              <w:rPr>
                <w:rFonts w:ascii="Times New Roman;serif" w:hAnsi="Times New Roman;serif"/>
                <w:b/>
                <w:color w:val="000000"/>
                <w:sz w:val="10"/>
              </w:rPr>
              <w:t>(2)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Outstanding as of</w:t>
            </w:r>
          </w:p>
        </w:tc>
      </w:tr>
      <w:tr>
        <w:trPr/>
        <w:tc>
          <w:tcPr>
            <w:tcW w:w="2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7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Secured (Fixed)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$197 Million Fixed Rate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Unsecured (Variable and 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Unsecured 2022 Line of Credit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SOFR + 1.05%</w:t>
            </w:r>
          </w:p>
        </w:tc>
        <w:tc>
          <w:tcPr>
            <w:tcW w:w="327" w:type="dxa"/>
            <w:gridSpan w:val="3"/>
            <w:tcBorders/>
            <w:shd w:fill="F8F4F1"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6/30/2028</w:t>
            </w:r>
          </w:p>
        </w:tc>
        <w:tc>
          <w:tcPr>
            <w:tcW w:w="327" w:type="dxa"/>
            <w:gridSpan w:val="3"/>
            <w:tcBorders/>
            <w:shd w:fill="F8F4F1"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Unsecured 2026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SOFR + 1.15%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Unsecured Senior Notes due 2028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2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7/20/2028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287,258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287,258 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Unsecured 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Million Unsecured Senior Notes due 2030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2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40" w:after="283"/>
              <w:jc w:val="left"/>
              <w:rPr/>
            </w:pPr>
            <w:r>
              <w:rPr/>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8/15/2030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Million Unsecured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283"/>
              <w:jc w:val="left"/>
              <w:rPr/>
            </w:pPr>
            <w:r>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Unsecured Senior Notes due 2033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52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1/15/2033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Unamortized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Subtotal/Weighted Average</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2,063,971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2,035,890 </w:t>
            </w:r>
          </w:p>
        </w:tc>
        <w:tc>
          <w:tcPr>
            <w:tcW w:w="17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2,250,937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2,224,712 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All of Piedmont’s outstanding debt as of June 30, 2026 is unsecured and interest-only until maturity, except for the $197 Million Fixed Rate Mortgage, which is secured by 1180 Peachtree Street.</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Effective rate after consideration of settled or in-place interest rate swap agreements and issuance discounts.</w:t>
      </w:r>
    </w:p>
    <w:p>
      <w:pPr>
        <w:pStyle w:val="TextBody"/>
        <w:bidi w:val="0"/>
        <w:spacing w:lineRule="auto" w:line="288" w:before="60" w:after="60"/>
        <w:ind w:left="0" w:right="0" w:hanging="72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The all-in interest rates associated with the SOFR selections are comprised of the base SOFR interest rate and a stated interest rate spread that can vary from 0.72% to 1.40% on the $600 Million Unsecured 2022 Line of Credit and </w:t>
      </w:r>
      <w:r>
        <w:rPr>
          <w:rFonts w:ascii="Times New Roman;serif" w:hAnsi="Times New Roman;serif"/>
          <w:b w:val="false"/>
          <w:color w:val="000000"/>
          <w:sz w:val="20"/>
        </w:rPr>
        <w:t>0.75%</w:t>
      </w:r>
      <w:r>
        <w:rPr>
          <w:color w:val="000000"/>
        </w:rPr>
        <w:t xml:space="preserve"> </w:t>
      </w:r>
      <w:r>
        <w:rPr>
          <w:rFonts w:ascii="Times New Roman;serif" w:hAnsi="Times New Roman;serif"/>
          <w:b w:val="false"/>
          <w:color w:val="000000"/>
          <w:sz w:val="18"/>
        </w:rPr>
        <w:t xml:space="preserve">to </w:t>
      </w:r>
      <w:r>
        <w:rPr>
          <w:rFonts w:ascii="Times New Roman;serif" w:hAnsi="Times New Roman;serif"/>
          <w:b w:val="false"/>
          <w:color w:val="000000"/>
          <w:sz w:val="20"/>
        </w:rPr>
        <w:t>1.55%</w:t>
      </w:r>
      <w:r>
        <w:rPr>
          <w:color w:val="000000"/>
        </w:rPr>
        <w:t xml:space="preserve"> </w:t>
      </w:r>
      <w:r>
        <w:rPr>
          <w:rFonts w:ascii="Times New Roman;serif" w:hAnsi="Times New Roman;serif"/>
          <w:b w:val="false"/>
          <w:color w:val="000000"/>
          <w:sz w:val="18"/>
        </w:rPr>
        <w:t>on the $400 Million Unsecured 2026 Term Loan based upon the then current credit rating (as defined in the respective loan agreement) of Piedmont or Piedmont OP.</w:t>
      </w:r>
    </w:p>
    <w:p>
      <w:pPr>
        <w:pStyle w:val="TextBody"/>
        <w:bidi w:val="0"/>
        <w:spacing w:lineRule="auto" w:line="288" w:before="60" w:after="60"/>
        <w:ind w:left="0" w:right="0" w:hanging="72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On a periodic basis, Piedmont may select from multiple interest rate options, including the prime rate and various-length SOFR locks on all or a portion of the principal. </w:t>
      </w:r>
    </w:p>
    <w:p>
      <w:pPr>
        <w:pStyle w:val="TextBody"/>
        <w:bidi w:val="0"/>
        <w:spacing w:lineRule="auto" w:line="288" w:before="60" w:after="60"/>
        <w:ind w:left="0" w:right="0" w:hanging="720"/>
        <w:jc w:val="both"/>
        <w:rPr/>
      </w:pPr>
      <w:r>
        <w:rPr>
          <w:rFonts w:ascii="Times New Roman;serif" w:hAnsi="Times New Roman;serif"/>
          <w:b w:val="false"/>
          <w:color w:val="000000"/>
          <w:sz w:val="12"/>
        </w:rPr>
        <w:t>(5)</w:t>
      </w:r>
      <w:r>
        <w:rPr>
          <w:rFonts w:ascii="Times New Roman;serif" w:hAnsi="Times New Roman;serif"/>
          <w:b w:val="false"/>
          <w:color w:val="000000"/>
          <w:sz w:val="18"/>
        </w:rPr>
        <w:t>Piedmont may extend the term of the $600 Million Unsecured 2022 Line of Credit for up to two additional years (through two available one-year extensions to a final extended maturity date of June 30, 2030); provided that Piedmont is not then in default and upon payment of extension fees.</w:t>
      </w:r>
    </w:p>
    <w:p>
      <w:pPr>
        <w:pStyle w:val="TextBody"/>
        <w:bidi w:val="0"/>
        <w:spacing w:lineRule="auto" w:line="288" w:before="60" w:after="60"/>
        <w:ind w:left="0" w:right="0" w:hanging="720"/>
        <w:jc w:val="both"/>
        <w:rPr/>
      </w:pPr>
      <w:r>
        <w:rPr>
          <w:rFonts w:ascii="Times New Roman;serif" w:hAnsi="Times New Roman;serif"/>
          <w:b w:val="false"/>
          <w:color w:val="000000"/>
          <w:sz w:val="12"/>
        </w:rPr>
        <w:t>(6)</w:t>
      </w:r>
      <w:r>
        <w:rPr>
          <w:rFonts w:ascii="Times New Roman;serif" w:hAnsi="Times New Roman;serif"/>
          <w:b w:val="false"/>
          <w:color w:val="000000"/>
          <w:sz w:val="18"/>
        </w:rPr>
        <w:t xml:space="preserve">The facility has a stated variable rate; however, Piedmont has entered into interest rate swap agreements which effectively fix, subject to changes to Piedmont's credit rating (as defined in the term loan agreement), $200 million of the principal balance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both"/>
        <w:rPr/>
      </w:pPr>
      <w:r>
        <w:rPr>
          <w:rFonts w:ascii="Times New Roman;serif" w:hAnsi="Times New Roman;serif"/>
          <w:b w:val="false"/>
          <w:color w:val="000000"/>
          <w:sz w:val="18"/>
        </w:rPr>
        <w:t xml:space="preserve">4.94% interest rate through June 1, 2028. The rate presented is the weighted-average rate for the effectively fixed and variable portions of the debt outstanding as of June 30, 2026 (see </w:t>
      </w:r>
      <w:hyperlink w:anchor="ia14037a9e9c3497ea345c062eac82108_55">
        <w:r>
          <w:rPr>
            <w:rStyle w:val="InternetLink"/>
          </w:rPr>
          <w:t xml:space="preserve">Note </w:t>
        </w:r>
      </w:hyperlink>
      <w:hyperlink w:anchor="ia14037a9e9c3497ea345c062eac82108_55">
        <w:r>
          <w:rPr>
            <w:rStyle w:val="InternetLink"/>
          </w:rPr>
          <w:t>4</w:t>
        </w:r>
      </w:hyperlink>
      <w:r>
        <w:rPr>
          <w:rFonts w:ascii="Times New Roman;serif" w:hAnsi="Times New Roman;serif"/>
          <w:b w:val="false"/>
          <w:color w:val="000000"/>
          <w:sz w:val="18"/>
        </w:rPr>
        <w:t>).</w: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Piedmont made interest payments on all debt facilities, including interest rate swap cash settlements, of approximately $11.3 million and $14.3 million for the three months ended June 30, 2026 and 2025, respectively, and approximately $50.5 million and $68.9 million for the six months ended June 30, 2026 and 2025, respectively. Also, Piedmont capitalized interest of approximately $1.0 million and $3.2 million for the three months ended June 30, 2026 and 2025, respectively, and $2.1 million and $6.5 million for the six months ended June 30, 2026 and 2025, respectively. As of June 30, 2026, Piedmont believes it was in compliance with all financial covenants associated with its debt instruments.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See </w:t>
      </w:r>
      <w:hyperlink w:anchor="ia14037a9e9c3497ea345c062eac82108_58">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for a description of Piedmont’s estimated fair value of debt as of June 30, 2026.</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Derivative Instruments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 Management Objective of Using Derivatives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operational risks which arise in the normal course of business, Piedmont is exposed to economic risks such as interest rate, liquidity, and credit risk. From time to time, Piedmont has entered into derivative financial instruments, specifically interest rate swap agreements, to manage interest rate risk exposure arising from current or future variable rate debt transactions. Piedmont’s objective in using interest rate derivatives is to add stability to interest expense and to manage its exposure to interest rate movements.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 Hedges of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rate swaps designated as cash flow hedges involve the receipt of variable-rate amounts from a counterparty in exchange for Piedmont making fixed-rate payments over the life of the agreements without exchange of the underlying notional amount.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During the six months ended June 30, 2026, Piedmont entered into three interest rate swap agreements in conjunction with the recast and upsize of the $400 Million Unsecured 2026 Term Loan (see </w:t>
      </w:r>
      <w:hyperlink w:anchor="ia14037a9e9c3497ea345c062eac82108_52">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above) to hedge $200 million of the principal balance through June 1, 2028. Piedmont's interest rate swap agreements are designated as effective cash flow hedges and are designated using SOFR. As of June 30, 2026, the maximum length of time over which Piedmont is hedging its exposure to the variability in future cash flows for forecasted transactions is 23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detail of Piedmont’s interest rate derivatives outstanding as of June 30, 2026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8"/>
        <w:gridCol w:w="438"/>
        <w:gridCol w:w="441"/>
        <w:gridCol w:w="109"/>
        <w:gridCol w:w="109"/>
        <w:gridCol w:w="109"/>
        <w:gridCol w:w="492"/>
        <w:gridCol w:w="492"/>
        <w:gridCol w:w="493"/>
        <w:gridCol w:w="109"/>
        <w:gridCol w:w="109"/>
        <w:gridCol w:w="109"/>
        <w:gridCol w:w="691"/>
        <w:gridCol w:w="655"/>
        <w:gridCol w:w="657"/>
        <w:gridCol w:w="109"/>
        <w:gridCol w:w="109"/>
        <w:gridCol w:w="109"/>
        <w:gridCol w:w="366"/>
        <w:gridCol w:w="809"/>
        <w:gridCol w:w="191"/>
        <w:gridCol w:w="109"/>
        <w:gridCol w:w="109"/>
        <w:gridCol w:w="109"/>
        <w:gridCol w:w="380"/>
        <w:gridCol w:w="380"/>
        <w:gridCol w:w="381"/>
        <w:gridCol w:w="109"/>
        <w:gridCol w:w="109"/>
        <w:gridCol w:w="109"/>
        <w:gridCol w:w="351"/>
        <w:gridCol w:w="351"/>
        <w:gridCol w:w="504"/>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Rate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Swap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Associated 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Unsecured 2026 Term Loan</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9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6/1/2026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6/1/2028</w:t>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Piedmont presents its interest rate derivatives on its consolidated balance sheets on a gross basis as interest rate swap assets and interest rate swap liabilities. A detail of Piedmont’s interest rate derivatives on a gross and net basis as of June 30, 2026 and December 31, 2025, respectively, is as follows (in thousands):</w:t>
      </w:r>
    </w:p>
    <w:p>
      <w:pPr>
        <w:pStyle w:val="TextBody"/>
        <w:bidi w:val="0"/>
        <w:spacing w:before="0" w:after="0"/>
        <w:jc w:val="both"/>
        <w:rPr/>
      </w:pPr>
      <w:r>
        <w:rPr/>
      </w:r>
    </w:p>
    <w:tbl>
      <w:tblPr>
        <w:tblW w:w="4816" w:type="dxa"/>
        <w:jc w:val="center"/>
        <w:tblInd w:w="0" w:type="dxa"/>
        <w:tblLayout w:type="fixed"/>
        <w:tblCellMar>
          <w:top w:w="28" w:type="dxa"/>
          <w:left w:w="28" w:type="dxa"/>
          <w:bottom w:w="28" w:type="dxa"/>
          <w:right w:w="28" w:type="dxa"/>
        </w:tblCellMar>
      </w:tblPr>
      <w:tblGrid>
        <w:gridCol w:w="922"/>
        <w:gridCol w:w="812"/>
        <w:gridCol w:w="815"/>
        <w:gridCol w:w="211"/>
        <w:gridCol w:w="481"/>
        <w:gridCol w:w="109"/>
        <w:gridCol w:w="109"/>
        <w:gridCol w:w="109"/>
        <w:gridCol w:w="109"/>
        <w:gridCol w:w="265"/>
        <w:gridCol w:w="681"/>
        <w:gridCol w:w="193"/>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Interest rate swaps classified as: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derivative assets</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derivative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asset/(liability)</w:t>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93"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gain/(loss) on Piedmont's interest rate derivatives, including previously settled forward swaps, that was recorded in OCI and the accompanying consolidated statements of operations as a component of interest expense for the three and six months ended June 30, 2026 and 2025, respectively, is as follows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96"/>
        <w:gridCol w:w="1518"/>
        <w:gridCol w:w="1526"/>
        <w:gridCol w:w="211"/>
        <w:gridCol w:w="764"/>
        <w:gridCol w:w="109"/>
        <w:gridCol w:w="109"/>
        <w:gridCol w:w="109"/>
        <w:gridCol w:w="109"/>
        <w:gridCol w:w="211"/>
        <w:gridCol w:w="764"/>
        <w:gridCol w:w="109"/>
        <w:gridCol w:w="109"/>
        <w:gridCol w:w="109"/>
        <w:gridCol w:w="109"/>
        <w:gridCol w:w="211"/>
        <w:gridCol w:w="764"/>
        <w:gridCol w:w="109"/>
        <w:gridCol w:w="109"/>
        <w:gridCol w:w="109"/>
        <w:gridCol w:w="109"/>
        <w:gridCol w:w="211"/>
        <w:gridCol w:w="764"/>
        <w:gridCol w:w="157"/>
      </w:tblGrid>
      <w:tr>
        <w:trPr/>
        <w:tc>
          <w:tcPr>
            <w:tcW w:w="179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Interest Rate Swaps in Cash Flow Hedging Relationships</w:t>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8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gain recognized in OCI</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7"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 of previously recorded loss reclassified from OCI into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amount of interest expense presented in the consolidated statements of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amount of loss on early extinguishment of debt presented in the consolidated statements of operations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5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Piedmont estimates that approximately $1.7 million will be reclassified from OCI as an increase to interest expense over the next twelve months. Additionally, see </w:t>
      </w:r>
      <w:hyperlink w:anchor="ia14037a9e9c3497ea345c062eac82108_58">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for fair value disclosures of Piedmont's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Credit-risk-related Contingent Features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Piedmont has agreements with its derivative counterparties that contain a provision whereby if Piedmont defaults on any of its indebtedness, including default where repayment of the indebtedness has not been accelerated by the lender, then Piedmont could also be declared in default on its derivative obligations. If Piedmont were to breach any of the contractual provisions of the derivative contracts, it could be required to settle its liability obligations under the agreements at their termination value of the estimated fair values plus accrued interest. However, as of June 30, 2026, all of Piedmont's net interest rate swap agreements are in an asset position. Add</w:t>
      </w:r>
      <w:r>
        <w:rPr>
          <w:rFonts w:ascii="Times New Roman;serif" w:hAnsi="Times New Roman;serif"/>
          <w:b w:val="false"/>
          <w:color w:val="000000"/>
          <w:sz w:val="20"/>
          <w:shd w:fill="FFFFFF" w:val="clear"/>
        </w:rPr>
        <w:t>itionally, Piedmont has rights of set-off under certain of its derivative agreements related to potential te</w:t>
      </w:r>
      <w:r>
        <w:rPr>
          <w:rFonts w:ascii="Times New Roman;serif" w:hAnsi="Times New Roman;serif"/>
          <w:b w:val="false"/>
          <w:color w:val="000000"/>
          <w:sz w:val="20"/>
        </w:rPr>
        <w:t>rmination fees and amounts payable under the agreements, if a termination were to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Fair Value Measurement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considers its cash and cash equivalents, tenant receivables, restricted cash and escrows, accounts payable and accrued expenses, interest rate swap agreements, and debt to meet the definition of financial instruments. The following table sets forth the carrying and estimated fair value for each of Piedmont’s financial instruments, as well as its level within the GAAP fair value hierarchy, as of June 30, 2026 and December 31, 2025,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3"/>
        <w:gridCol w:w="364"/>
        <w:gridCol w:w="367"/>
        <w:gridCol w:w="211"/>
        <w:gridCol w:w="991"/>
        <w:gridCol w:w="109"/>
        <w:gridCol w:w="109"/>
        <w:gridCol w:w="109"/>
        <w:gridCol w:w="109"/>
        <w:gridCol w:w="211"/>
        <w:gridCol w:w="991"/>
        <w:gridCol w:w="109"/>
        <w:gridCol w:w="109"/>
        <w:gridCol w:w="109"/>
        <w:gridCol w:w="109"/>
        <w:gridCol w:w="337"/>
        <w:gridCol w:w="337"/>
        <w:gridCol w:w="338"/>
        <w:gridCol w:w="109"/>
        <w:gridCol w:w="109"/>
        <w:gridCol w:w="109"/>
        <w:gridCol w:w="211"/>
        <w:gridCol w:w="976"/>
        <w:gridCol w:w="109"/>
        <w:gridCol w:w="109"/>
        <w:gridCol w:w="109"/>
        <w:gridCol w:w="109"/>
        <w:gridCol w:w="211"/>
        <w:gridCol w:w="976"/>
        <w:gridCol w:w="109"/>
        <w:gridCol w:w="109"/>
        <w:gridCol w:w="109"/>
        <w:gridCol w:w="109"/>
        <w:gridCol w:w="309"/>
        <w:gridCol w:w="309"/>
        <w:gridCol w:w="442"/>
      </w:tblGrid>
      <w:tr>
        <w:trPr/>
        <w:tc>
          <w:tcPr>
            <w:tcW w:w="5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Financial Instrument</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Within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Within Fair Value Hierarchy</w:t>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Tenant receivables, net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and escrows </w:t>
            </w:r>
            <w:r>
              <w:rPr>
                <w:rFonts w:ascii="Times New Roman;serif" w:hAnsi="Times New Roman;serif"/>
                <w:b w:val="false"/>
                <w:color w:val="000000"/>
                <w:sz w:val="13"/>
              </w:rPr>
              <w:t>(1)</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Liabilities:</w:t>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Accounts payable and accrued expenses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2,278,741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2"/>
        </w:rPr>
        <w:t>(1)</w:t>
      </w:r>
      <w:r>
        <w:rPr>
          <w:rFonts w:ascii="Times New Roman;serif" w:hAnsi="Times New Roman;serif"/>
          <w:b w:val="false"/>
          <w:color w:val="000000"/>
          <w:sz w:val="18"/>
        </w:rPr>
        <w:t>For the periods presented, the carrying value of these financial instruments approximates estimated fair value due to their short-term maturity.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Piedmont's debt was carried at book value as of June 30, 2026 and December 31, 2025; however, Piedmont's estimate of its fair value is disclosed in the table above. Piedmont uses widely accepted valuation techniques including discounted cash 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analysis based on the contractual terms of the debt facilities, including the period to maturity of each instrument, and uses observable market-based inputs for similar debt facilities which have transacted recently in the market. Therefore, the estimated fair values determined are considered to be based on significant other observable inputs (Level 2). Scaling adjustments are made to these inputs to make them applicable to the remaining life of Piedmont's outstanding debt. Piedmont has not changed its valuation technique for estimating the fair value of its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Piedmont’s interest rate swap agreements presented above, and as further discussed in </w:t>
      </w:r>
      <w:hyperlink w:anchor="ia14037a9e9c3497ea345c062eac82108_163">
        <w:r>
          <w:rPr>
            <w:rStyle w:val="InternetLink"/>
          </w:rPr>
          <w:t>Note 4</w:t>
        </w:r>
      </w:hyperlink>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color w:val="000000"/>
          <w:sz w:val="20"/>
        </w:rPr>
        <w:t>are classified as “Interest rate swaps” in the accompanying consolidated balance sheets and were carried at estimated fair value as of June 30, 2026 and December 31, 2025. The valuation of these derivative instruments was determined using widely accepted valuation techniques including discounted cash flow analysis based on the contractual terms of the derivatives, including the period to maturity of each instrument, and uses observable market-based inputs, including interest rate curves and implied volatilities. Therefore, the estimated fair values determined are considered to be based on significant other observable inputs (Level 2). In addition, Piedmont considered both its own and the respective counterparties’ risk of nonperformance in determining the estimated fair value of its derivative financial instruments by estimating the current and potential future exposure under the derivative financial instruments as of the valuation date. The credit risk of Piedmont and its counterparties was factored into the calculation of the estimated fair value of the interest rate swaps; however, as of June 30, 2026 and December 31, 2025, this credit valuation adjustment did not comprise a material portion of the estimated fair value. Therefore, Piedmont believes that any unobservable inputs used to determine the estimated fair values of its derivative financial instruments are not significant to the fair value measurements in their entirety, and does not consider any of its derivatives to be Level 3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 of Piedmont’s goodwill allocated to each of its reportable segments in total and net of accumulated impairment charges, as of June 30, 2026 and December 31, 2025 was as follows (in thousands):</w:t>
      </w:r>
    </w:p>
    <w:p>
      <w:pPr>
        <w:pStyle w:val="TextBody"/>
        <w:bidi w:val="0"/>
        <w:spacing w:before="0" w:after="0"/>
        <w:jc w:val="both"/>
        <w:rPr/>
      </w:pPr>
      <w:r>
        <w:rPr/>
      </w:r>
    </w:p>
    <w:tbl>
      <w:tblPr>
        <w:tblW w:w="11758" w:type="dxa"/>
        <w:jc w:val="left"/>
        <w:tblInd w:w="0" w:type="dxa"/>
        <w:tblLayout w:type="fixed"/>
        <w:tblCellMar>
          <w:top w:w="28" w:type="dxa"/>
          <w:left w:w="28" w:type="dxa"/>
          <w:bottom w:w="28" w:type="dxa"/>
          <w:right w:w="28" w:type="dxa"/>
        </w:tblCellMar>
      </w:tblPr>
      <w:tblGrid>
        <w:gridCol w:w="499"/>
        <w:gridCol w:w="268"/>
        <w:gridCol w:w="26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Dallas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Orlando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Northern Virginia/</w:t>
              <w:b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Minneapolis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98,918 </w:t>
            </w:r>
          </w:p>
        </w:tc>
        <w:tc>
          <w:tcPr>
            <w:tcW w:w="154" w:type="dxa"/>
            <w:tcBorders/>
            <w:shd w:fill="F8F4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impairment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53,491 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impairment charges</w:t>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98,918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impairment charges</w:t>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(45,427)</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53,491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 Under Existing Lease Agreements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recurring part of its business, Piedmont is typically required under its executed lease agreements to fund tenant improvements, leasing commissions, and building improvements. In addition, certain agreements contain provisions that require Piedmont to issue corporate or property guarantees to provide funding for capital improvements or other financial obligations. As of June 30, 2026, Piedmont had no individually significant tenant allowance commitment greater than $10 million. These commitments will be capitalized as the related expenditures are incurred.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Contingencies Related to Tenant Audits/Disputes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Certain lease agreements include provisions that grant tenants the right to engage independent auditors to audit their annual operating expense reconciliations. Such audits may result in different interpretations of language in the lease agreements from that made by Piedmont, whic</w:t>
      </w:r>
      <w:r>
        <w:rPr>
          <w:rFonts w:ascii="Times New Roman;serif" w:hAnsi="Times New Roman;serif"/>
          <w:b w:val="false"/>
          <w:color w:val="000000"/>
          <w:sz w:val="20"/>
          <w:shd w:fill="FFFFFF" w:val="clear"/>
        </w:rPr>
        <w:t xml:space="preserve">h could result in requests for refunds of previously recognized tenant reimbursement revenues, resulting in financial loss to Piedmont. There were no such reductions during the three and six months ended June 30, 2026 or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Property Dispositions and Assets Held for Sale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property dispositions during the six months ended June 30, 2026. The following properties were sold during the six months ended June 30,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5"/>
        <w:gridCol w:w="467"/>
        <w:gridCol w:w="463"/>
        <w:gridCol w:w="109"/>
        <w:gridCol w:w="109"/>
        <w:gridCol w:w="109"/>
        <w:gridCol w:w="837"/>
        <w:gridCol w:w="767"/>
        <w:gridCol w:w="770"/>
        <w:gridCol w:w="109"/>
        <w:gridCol w:w="109"/>
        <w:gridCol w:w="109"/>
        <w:gridCol w:w="451"/>
        <w:gridCol w:w="451"/>
        <w:gridCol w:w="390"/>
        <w:gridCol w:w="109"/>
        <w:gridCol w:w="109"/>
        <w:gridCol w:w="109"/>
        <w:gridCol w:w="436"/>
        <w:gridCol w:w="1276"/>
        <w:gridCol w:w="225"/>
        <w:gridCol w:w="109"/>
        <w:gridCol w:w="109"/>
        <w:gridCol w:w="109"/>
        <w:gridCol w:w="211"/>
        <w:gridCol w:w="721"/>
        <w:gridCol w:w="857"/>
      </w:tblGrid>
      <w:tr>
        <w:trPr/>
        <w:tc>
          <w:tcPr>
            <w:tcW w:w="5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 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Sale of Real Estate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 Proceeds</w:t>
            </w:r>
          </w:p>
        </w:tc>
      </w:tr>
      <w:tr>
        <w:trPr/>
        <w:tc>
          <w:tcPr>
            <w:tcW w:w="1505"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161 Corporate Center</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Irving, Texas / Dallas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18, 2025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2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857"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 and 90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Boxborough, Massachusetts / Boston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25,690 </w:t>
            </w:r>
          </w:p>
        </w:tc>
        <w:tc>
          <w:tcPr>
            <w:tcW w:w="857"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50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25"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30,670 </w:t>
            </w:r>
          </w:p>
        </w:tc>
        <w:tc>
          <w:tcPr>
            <w:tcW w:w="857"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during the six months ended June 30, 2025, Piedmont recognized a gain on sale of real estate assets of $0.7 million related to the return of amounts held in escrow for the 750 West John Carpenter building sold in July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Piedmont was under a binding contract to sell a 10.6 acre land parcel (Royal Lane Land) in Dallas, Texas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approximately $12.0 million. Consequently, the land, which is assigned to the Dallas geographic reportable segment, met the criteria for held for sale classification as of June 30, 2026 and the assets are presented as held for sale as of both June 30, 2026 and December 31, 2025 for comparability in the accompanying consolidated balance sheets. Details of amounts held for sale are presented below (in thousands):</w:t>
      </w:r>
    </w:p>
    <w:p>
      <w:pPr>
        <w:pStyle w:val="TextBody"/>
        <w:bidi w:val="0"/>
        <w:spacing w:before="0" w:after="0"/>
        <w:jc w:val="both"/>
        <w:rPr/>
      </w:pPr>
      <w:r>
        <w:rPr/>
      </w:r>
    </w:p>
    <w:tbl>
      <w:tblPr>
        <w:tblW w:w="7522" w:type="dxa"/>
        <w:jc w:val="left"/>
        <w:tblInd w:w="0" w:type="dxa"/>
        <w:tblLayout w:type="fixed"/>
        <w:tblCellMar>
          <w:top w:w="28" w:type="dxa"/>
          <w:left w:w="28" w:type="dxa"/>
          <w:bottom w:w="28" w:type="dxa"/>
          <w:right w:w="28" w:type="dxa"/>
        </w:tblCellMar>
      </w:tblPr>
      <w:tblGrid>
        <w:gridCol w:w="1519"/>
        <w:gridCol w:w="1333"/>
        <w:gridCol w:w="1347"/>
        <w:gridCol w:w="109"/>
        <w:gridCol w:w="109"/>
        <w:gridCol w:w="109"/>
        <w:gridCol w:w="249"/>
        <w:gridCol w:w="747"/>
        <w:gridCol w:w="129"/>
        <w:gridCol w:w="109"/>
        <w:gridCol w:w="109"/>
        <w:gridCol w:w="109"/>
        <w:gridCol w:w="332"/>
        <w:gridCol w:w="970"/>
        <w:gridCol w:w="242"/>
      </w:tblGrid>
      <w:tr>
        <w:trPr/>
        <w:tc>
          <w:tcPr>
            <w:tcW w:w="15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held for sale,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2,628</w:t>
            </w:r>
            <w:r>
              <w:rPr>
                <w:color w:val="000000"/>
              </w:rPr>
              <w:t> </w:t>
            </w:r>
          </w:p>
        </w:tc>
        <w:tc>
          <w:tcPr>
            <w:tcW w:w="12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24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Total real estate assets held for sale, net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2,837</w:t>
            </w:r>
            <w:r>
              <w:rPr>
                <w:color w:val="000000"/>
              </w:rPr>
              <w:t> </w:t>
            </w:r>
          </w:p>
        </w:tc>
        <w:tc>
          <w:tcPr>
            <w:tcW w:w="12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242"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Stock 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Annually, the Compensation Committee of Piedmont's Board of Directors has granted deferred stock award units to certain employees at its discretion. Employee awards typically vest ratably over four years. In addition, Piedmont's independent directors receive an annual grant of deferred stock award units for services rendered and such awards vest over a one-year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time-based awards discussed above, certain management employees also participate in a multi-year performance share program whereby actual awards are contingent upon Piedmont's total stockholder return ("TSR") performance relative to the TSR of a peer group of office REITs. The number of shares earned, if any, are determined at the end of the multi-year performance period (or upon the participant's termination) and vest immediately. The grant date fair value of the multi-year performance share awards is estimated using the Monte Carlo valuation method and is recognized ratably over the performance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roll forward of Piedmont's equity based award activity for the six months ended June 30, 2026 is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35"/>
        <w:gridCol w:w="1779"/>
        <w:gridCol w:w="1790"/>
        <w:gridCol w:w="488"/>
        <w:gridCol w:w="488"/>
        <w:gridCol w:w="196"/>
        <w:gridCol w:w="109"/>
        <w:gridCol w:w="109"/>
        <w:gridCol w:w="109"/>
        <w:gridCol w:w="666"/>
        <w:gridCol w:w="1945"/>
        <w:gridCol w:w="491"/>
      </w:tblGrid>
      <w:tr>
        <w:trPr/>
        <w:tc>
          <w:tcPr>
            <w:tcW w:w="203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and Potential Stock Awards as of December 31, 2025</w:t>
            </w:r>
          </w:p>
        </w:tc>
        <w:tc>
          <w:tcPr>
            <w:tcW w:w="97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3,953,854 </w:t>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49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Stock Awards 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Awards Granted</w:t>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528,963 </w:t>
            </w:r>
          </w:p>
        </w:tc>
        <w:tc>
          <w:tcPr>
            <w:tcW w:w="19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49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Estimated Potential Share Awards based on TSR Performance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Performance Stock Awards Vested</w:t>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(471,324)</w:t>
            </w:r>
          </w:p>
        </w:tc>
        <w:tc>
          <w:tcPr>
            <w:tcW w:w="19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49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Stock Awards 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2" w:type="dxa"/>
            <w:gridSpan w:val="3"/>
            <w:tcBorders/>
            <w:vAlign w:val="center"/>
          </w:tcPr>
          <w:p>
            <w:pPr>
              <w:pStyle w:val="TableContents"/>
              <w:bidi w:val="0"/>
              <w:spacing w:before="0" w:after="283"/>
              <w:jc w:val="left"/>
              <w:rPr>
                <w:sz w:val="4"/>
                <w:szCs w:val="4"/>
              </w:rPr>
            </w:pPr>
            <w:r>
              <w:rPr>
                <w:sz w:val="4"/>
                <w:szCs w:val="4"/>
              </w:rPr>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Potential Stock Awards as of June 30, 2026</w:t>
            </w:r>
          </w:p>
        </w:tc>
        <w:tc>
          <w:tcPr>
            <w:tcW w:w="976" w:type="dxa"/>
            <w:gridSpan w:val="2"/>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3,945,302 </w:t>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49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regarding stock award activity during the three and six months ended June 30, 2026 and 2025, respectively (in thousands, except per share amounts):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034"/>
        <w:gridCol w:w="1786"/>
        <w:gridCol w:w="1793"/>
        <w:gridCol w:w="211"/>
        <w:gridCol w:w="526"/>
        <w:gridCol w:w="109"/>
        <w:gridCol w:w="109"/>
        <w:gridCol w:w="109"/>
        <w:gridCol w:w="109"/>
        <w:gridCol w:w="211"/>
        <w:gridCol w:w="511"/>
        <w:gridCol w:w="109"/>
        <w:gridCol w:w="109"/>
        <w:gridCol w:w="109"/>
        <w:gridCol w:w="109"/>
        <w:gridCol w:w="211"/>
        <w:gridCol w:w="631"/>
        <w:gridCol w:w="109"/>
        <w:gridCol w:w="109"/>
        <w:gridCol w:w="109"/>
        <w:gridCol w:w="109"/>
        <w:gridCol w:w="211"/>
        <w:gridCol w:w="616"/>
        <w:gridCol w:w="156"/>
      </w:tblGrid>
      <w:tr>
        <w:trPr/>
        <w:tc>
          <w:tcPr>
            <w:tcW w:w="203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613"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 of Deferred Stock Granted During the Period</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Deferred Stock Vested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detail of Piedmont’s outstanding stock awards and programs as of June 30, 2026 is as follows:</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428"/>
        <w:gridCol w:w="307"/>
        <w:gridCol w:w="222"/>
        <w:gridCol w:w="109"/>
        <w:gridCol w:w="109"/>
        <w:gridCol w:w="109"/>
        <w:gridCol w:w="766"/>
        <w:gridCol w:w="417"/>
        <w:gridCol w:w="346"/>
        <w:gridCol w:w="109"/>
        <w:gridCol w:w="109"/>
        <w:gridCol w:w="109"/>
        <w:gridCol w:w="413"/>
        <w:gridCol w:w="413"/>
        <w:gridCol w:w="251"/>
        <w:gridCol w:w="109"/>
        <w:gridCol w:w="109"/>
        <w:gridCol w:w="109"/>
        <w:gridCol w:w="211"/>
        <w:gridCol w:w="616"/>
        <w:gridCol w:w="109"/>
        <w:gridCol w:w="109"/>
        <w:gridCol w:w="109"/>
        <w:gridCol w:w="109"/>
        <w:gridCol w:w="1049"/>
        <w:gridCol w:w="618"/>
        <w:gridCol w:w="621"/>
        <w:gridCol w:w="109"/>
        <w:gridCol w:w="109"/>
        <w:gridCol w:w="109"/>
        <w:gridCol w:w="488"/>
        <w:gridCol w:w="488"/>
        <w:gridCol w:w="431"/>
        <w:gridCol w:w="109"/>
        <w:gridCol w:w="109"/>
        <w:gridCol w:w="158"/>
      </w:tblGrid>
      <w:tr>
        <w:trPr/>
        <w:tc>
          <w:tcPr>
            <w:tcW w:w="4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Shares</w:t>
            </w:r>
          </w:p>
          <w:p>
            <w:pPr>
              <w:pStyle w:val="TableContents"/>
              <w:bidi w:val="0"/>
              <w:spacing w:lineRule="auto" w:line="240" w:before="0" w:after="0"/>
              <w:jc w:val="center"/>
              <w:rPr/>
            </w:pPr>
            <w:r>
              <w:rPr>
                <w:rFonts w:ascii="Times New Roman;serif" w:hAnsi="Times New Roman;serif"/>
                <w:b/>
                <w:color w:val="000000"/>
                <w:sz w:val="16"/>
              </w:rPr>
              <w:t xml:space="preserve">Granted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w:t>
              <w:br/>
              <w:t>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Shares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284,234 </w:t>
            </w:r>
          </w:p>
        </w:tc>
        <w:tc>
          <w:tcPr>
            <w:tcW w:w="25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23, 2024, 2025, 2026, and 2027, respectively.</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80,729 </w:t>
            </w:r>
          </w:p>
        </w:tc>
        <w:tc>
          <w:tcPr>
            <w:tcW w:w="43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2024-2026 Performance Share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awarded, if any, will vest immediately upon determination of award in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1,035,878 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419,055 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20, 2025, 2026, 2027, and 2028, respectively.</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234,267 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October 1, 2025, 2026, 2027, and 2028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322,101 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100% will vest on October 28, 2029.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322,101 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389,110 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3, 2026, 2027, 2028, and 2029,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2025-2027 Performance Share Program</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awarded, if any, will vest immediately upon determination of award in 2028.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1,007,634 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468,034 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17, 2027, 2028, 2029, and 2030,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468,034 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2026-2028 Performance Share Program</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awarded, if any, will vest immediately upon determination of award in 2029.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330,813 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100% will vest on the earlier of the 2027 Annual Meeting or May 12,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3,945,302 </w:t>
            </w:r>
          </w:p>
        </w:tc>
        <w:tc>
          <w:tcPr>
            <w:tcW w:w="43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Amounts reflect the total original grant to employees and independent directors, net of shares surrendered upon vesting to satisfy required minimum tax withholding obligations through June 30, 2026.</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Estimated based on Piedmont's cumulative TSR for the respective performance period through June 30, 2026. Share estimates are subject to change in future periods based upon Piedmont's relative TSR performance compared to its peer group of office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both the three months ended June 30, 2026 and 2025, Piedmont recognized approximately $2.5 million of compensation expense related to the amortization of unvested and potential stock awards. During the six months ended June 30, 2026 and 2025, Piedmont recognized approximately $4.7 million and $4.6 million, respectively, of compensation expense related to the amortization of unvested and potential stock awards. During the six months ended June 30, 2026, 613,547 shares (net of shares surrendered upon vesting to satisfy required minimum tax withholding obligations) were issued to employees and independent directors. As of June 30, 2026, approximately $18.9 million of unrecognized compensation cost related to unvested and potential stock awards remained, which Piedmont will record in its consolidated statements of operations over a weighted-average vesting period of approximately one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Supplemental Disclosures for the Statement of Consolidated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non-cash investing and financing activities for the six months ended June 30, 2026 and 2025 (in thousands) are outlined below:</w:t>
      </w:r>
    </w:p>
    <w:tbl>
      <w:tblPr>
        <w:tblW w:w="8109" w:type="dxa"/>
        <w:jc w:val="left"/>
        <w:tblInd w:w="0" w:type="dxa"/>
        <w:tblLayout w:type="fixed"/>
        <w:tblCellMar>
          <w:top w:w="28" w:type="dxa"/>
          <w:left w:w="28" w:type="dxa"/>
          <w:bottom w:w="28" w:type="dxa"/>
          <w:right w:w="28" w:type="dxa"/>
        </w:tblCellMar>
      </w:tblPr>
      <w:tblGrid>
        <w:gridCol w:w="2015"/>
        <w:gridCol w:w="1770"/>
        <w:gridCol w:w="1780"/>
        <w:gridCol w:w="211"/>
        <w:gridCol w:w="736"/>
        <w:gridCol w:w="109"/>
        <w:gridCol w:w="109"/>
        <w:gridCol w:w="109"/>
        <w:gridCol w:w="109"/>
        <w:gridCol w:w="211"/>
        <w:gridCol w:w="796"/>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 funded by tenants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10,986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accrued capital expenditures and deferred lease costs </w:t>
            </w:r>
            <w:r>
              <w:rPr>
                <w:rFonts w:ascii="Times New Roman;serif" w:hAnsi="Times New Roman;serif"/>
                <w:b w:val="false"/>
                <w:color w:val="000000"/>
                <w:sz w:val="13"/>
              </w:rPr>
              <w:t>(1)</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19,747</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accrued dividends</w:t>
            </w:r>
          </w:p>
        </w:tc>
        <w:tc>
          <w:tcPr>
            <w:tcW w:w="211" w:type="dxa"/>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w:t>
            </w:r>
          </w:p>
        </w:tc>
        <w:tc>
          <w:tcPr>
            <w:tcW w:w="154"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deferred financing costs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Accrued capital expenditures and deferred lease costs included in accounts payable, accrued expenses, and accrued capital expenditures as of June 30, 2026 and 2025 were approximately $28.1 million, and $22.8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and escrows as presented in the accompanying consolidated statements of cash flows for the six months ended June 30, 2026 and 2025, to the consolidated balance sheets for the respective period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04"/>
        <w:gridCol w:w="2296"/>
        <w:gridCol w:w="2303"/>
        <w:gridCol w:w="109"/>
        <w:gridCol w:w="109"/>
        <w:gridCol w:w="109"/>
        <w:gridCol w:w="211"/>
        <w:gridCol w:w="736"/>
        <w:gridCol w:w="109"/>
        <w:gridCol w:w="109"/>
        <w:gridCol w:w="109"/>
        <w:gridCol w:w="109"/>
        <w:gridCol w:w="211"/>
        <w:gridCol w:w="826"/>
        <w:gridCol w:w="155"/>
      </w:tblGrid>
      <w:tr>
        <w:trPr/>
        <w:tc>
          <w:tcPr>
            <w:tcW w:w="270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109,637 </w:t>
            </w:r>
          </w:p>
        </w:tc>
        <w:tc>
          <w:tcPr>
            <w:tcW w:w="15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escrows,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and escrows as presented in the accompanying consolidated statement of cash flows, beginning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113,882 </w:t>
            </w:r>
          </w:p>
        </w:tc>
        <w:tc>
          <w:tcPr>
            <w:tcW w:w="15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escrows,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and escrows as presented in the accompanying consolidated statement of cash flows, end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21,746</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7,815 </w:t>
            </w:r>
          </w:p>
        </w:tc>
        <w:tc>
          <w:tcPr>
            <w:tcW w:w="155"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Amounts in restricted cash and escrows typically represent: escrow accounts required for future property repairs; escrow accounts for the payment of real estate taxes as required under certain of Piedmont's debt agreements; earnest money deposited by a buyer to secure the purchase of one of Piedmont's properties; or security or utility deposits held for tenants as a condition of their lease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Piedmont recognized a net loss for both the three and six months ended June 30, 2026 and 2025, earnings per share is computed using basic weighted-average common shares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Piedmont's President and Chief Executive Officer has been identified as Piedmont's chief operating decision maker (the "CODM"), as defined by GAAP. The CODM evaluates Piedmont's portfolio and assesses the ongoing operations and performance of its projects utilizing the following geographic segments: Atlanta, Dallas, Orlando, Northern Virginia/Washington, D.C., Minneapolis, New York, and Boston. These seven operating segments are also Piedmont’s reportable segments. As of June 30, 2026, Piedmont also owned two projects in Houston that do not meet the definition of an operating or reportable segment as the CODM does not regularly review these properties for purposes of allocating resources or assessing performance. Further, Piedmont does not maintain a significant presence nor anticipate further investment in this market. These two projects are the primary contributors to accrual-based net operating income ("NOI") included in "Other" below. During the periods presented, there have been no material inter-segment transactions. The accounting policies of the reportable segments are the same as Piedmont's accounting policies.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by geographic segment is the primary performance measure reviewed by Piedmont's CODM to assess operating performance and consists only of revenues and expenses directly related to real estate rental operations. NOI is calculated by deducting property operating costs and adjusting for other segment items from lease revenues and other property related income. Other segment items consist primarily of allocated costs and salaries, which are recognized at the respective properties and eliminated in the preparation of consolidated financial statements. NOI reflects property acquisitions and dispositions, occupancy levels, rental rate increases or decreases, and the recoverability of operating expenses. Piedmont's calculation of NOI may not be directly comparable to similarly titled measures calculated by other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 value information and capital expenditures by segment are not reported because the CODM does not use these measures to assess performance.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accrual-based revenues, expenses, and other segment items included in NOI by geographic reportable segment for the three months ended June 30, 2026 and 2025 (in thousands):</w:t>
      </w:r>
    </w:p>
    <w:p>
      <w:pPr>
        <w:pStyle w:val="TextBody"/>
        <w:bidi w:val="0"/>
        <w:spacing w:before="0" w:after="0"/>
        <w:jc w:val="both"/>
        <w:rPr/>
      </w:pPr>
      <w:r>
        <w:rPr/>
      </w:r>
    </w:p>
    <w:tbl>
      <w:tblPr>
        <w:tblW w:w="10142" w:type="dxa"/>
        <w:jc w:val="left"/>
        <w:tblInd w:w="0" w:type="dxa"/>
        <w:tblLayout w:type="fixed"/>
        <w:tblCellMar>
          <w:top w:w="28" w:type="dxa"/>
          <w:left w:w="28" w:type="dxa"/>
          <w:bottom w:w="28" w:type="dxa"/>
          <w:right w:w="28" w:type="dxa"/>
        </w:tblCellMar>
      </w:tblPr>
      <w:tblGrid>
        <w:gridCol w:w="1104"/>
        <w:gridCol w:w="971"/>
        <w:gridCol w:w="985"/>
        <w:gridCol w:w="220"/>
        <w:gridCol w:w="880"/>
        <w:gridCol w:w="114"/>
        <w:gridCol w:w="109"/>
        <w:gridCol w:w="109"/>
        <w:gridCol w:w="109"/>
        <w:gridCol w:w="398"/>
        <w:gridCol w:w="1391"/>
        <w:gridCol w:w="206"/>
        <w:gridCol w:w="109"/>
        <w:gridCol w:w="109"/>
        <w:gridCol w:w="109"/>
        <w:gridCol w:w="430"/>
        <w:gridCol w:w="982"/>
        <w:gridCol w:w="222"/>
        <w:gridCol w:w="109"/>
        <w:gridCol w:w="109"/>
        <w:gridCol w:w="109"/>
        <w:gridCol w:w="211"/>
        <w:gridCol w:w="736"/>
        <w:gridCol w:w="311"/>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Segment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NOI</w:t>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44,535</w:t>
            </w:r>
            <w:r>
              <w:rPr>
                <w:color w:val="000000"/>
              </w:rPr>
              <w:t> </w:t>
            </w:r>
          </w:p>
        </w:tc>
        <w:tc>
          <w:tcPr>
            <w:tcW w:w="11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14,980</w:t>
            </w:r>
            <w:r>
              <w:rPr>
                <w:color w:val="000000"/>
              </w:rPr>
              <w:t> </w:t>
            </w:r>
          </w:p>
        </w:tc>
        <w:tc>
          <w:tcPr>
            <w:tcW w:w="20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222"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29,720</w:t>
            </w:r>
            <w:r>
              <w:rPr>
                <w:color w:val="000000"/>
              </w:rPr>
              <w:t> </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27,504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11,189</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16,164</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10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18,565</w:t>
            </w:r>
            <w:r>
              <w:rPr>
                <w:color w:val="000000"/>
              </w:rPr>
              <w:t>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6,825</w:t>
            </w:r>
            <w:r>
              <w:rPr>
                <w:color w:val="000000"/>
              </w:rPr>
              <w:t> </w:t>
            </w:r>
          </w:p>
        </w:tc>
        <w:tc>
          <w:tcPr>
            <w:tcW w:w="20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11,740</w:t>
            </w:r>
            <w:r>
              <w:rPr>
                <w:color w:val="000000"/>
              </w:rPr>
              <w:t>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5,450</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7,937</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10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11,650</w:t>
            </w:r>
            <w:r>
              <w:rPr>
                <w:color w:val="000000"/>
              </w:rPr>
              <w:t>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5,832</w:t>
            </w:r>
            <w:r>
              <w:rPr>
                <w:color w:val="000000"/>
              </w:rPr>
              <w:t> </w:t>
            </w:r>
          </w:p>
        </w:tc>
        <w:tc>
          <w:tcPr>
            <w:tcW w:w="20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5,793</w:t>
            </w:r>
            <w:r>
              <w:rPr>
                <w:color w:val="000000"/>
              </w:rPr>
              <w:t>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13,873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6,409</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7,463</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10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9,704</w:t>
            </w:r>
            <w:r>
              <w:rPr>
                <w:color w:val="000000"/>
              </w:rPr>
              <w:t>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3,431</w:t>
            </w:r>
            <w:r>
              <w:rPr>
                <w:color w:val="000000"/>
              </w:rPr>
              <w:t> </w:t>
            </w:r>
          </w:p>
        </w:tc>
        <w:tc>
          <w:tcPr>
            <w:tcW w:w="20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6,204</w:t>
            </w:r>
            <w:r>
              <w:rPr>
                <w:color w:val="000000"/>
              </w:rPr>
              <w:t>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139,091</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54,116</w:t>
            </w: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85,021</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5,032</w:t>
            </w:r>
            <w:r>
              <w:rPr>
                <w:color w:val="000000"/>
              </w:rPr>
              <w:t> </w:t>
            </w:r>
          </w:p>
        </w:tc>
        <w:tc>
          <w:tcPr>
            <w:tcW w:w="11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w:t>
            </w:r>
            <w:r>
              <w:rPr>
                <w:color w:val="000000"/>
              </w:rPr>
              <w:t> </w:t>
            </w:r>
          </w:p>
        </w:tc>
        <w:tc>
          <w:tcPr>
            <w:tcW w:w="20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w:t>
            </w:r>
          </w:p>
        </w:tc>
        <w:tc>
          <w:tcPr>
            <w:tcW w:w="222"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3,116</w:t>
            </w:r>
            <w:r>
              <w:rPr>
                <w:color w:val="000000"/>
              </w:rPr>
              <w:t> </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144,123</w:t>
            </w:r>
            <w:r>
              <w:rPr>
                <w:color w:val="000000"/>
              </w:rPr>
              <w:t>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55,986</w:t>
            </w:r>
            <w:r>
              <w:rPr>
                <w:color w:val="000000"/>
              </w:rPr>
              <w:t>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88,137</w:t>
            </w:r>
            <w:r>
              <w:rPr>
                <w:color w:val="000000"/>
              </w:rPr>
              <w:t>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126" w:type="dxa"/>
        <w:jc w:val="left"/>
        <w:tblInd w:w="0" w:type="dxa"/>
        <w:tblLayout w:type="fixed"/>
        <w:tblCellMar>
          <w:top w:w="28" w:type="dxa"/>
          <w:left w:w="28" w:type="dxa"/>
          <w:bottom w:w="28" w:type="dxa"/>
          <w:right w:w="28" w:type="dxa"/>
        </w:tblCellMar>
      </w:tblPr>
      <w:tblGrid>
        <w:gridCol w:w="1104"/>
        <w:gridCol w:w="971"/>
        <w:gridCol w:w="985"/>
        <w:gridCol w:w="223"/>
        <w:gridCol w:w="876"/>
        <w:gridCol w:w="115"/>
        <w:gridCol w:w="109"/>
        <w:gridCol w:w="109"/>
        <w:gridCol w:w="109"/>
        <w:gridCol w:w="404"/>
        <w:gridCol w:w="1382"/>
        <w:gridCol w:w="208"/>
        <w:gridCol w:w="109"/>
        <w:gridCol w:w="109"/>
        <w:gridCol w:w="109"/>
        <w:gridCol w:w="439"/>
        <w:gridCol w:w="969"/>
        <w:gridCol w:w="226"/>
        <w:gridCol w:w="109"/>
        <w:gridCol w:w="109"/>
        <w:gridCol w:w="109"/>
        <w:gridCol w:w="211"/>
        <w:gridCol w:w="721"/>
        <w:gridCol w:w="311"/>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Segment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NOI</w:t>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2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44,538 </w:t>
            </w:r>
          </w:p>
        </w:tc>
        <w:tc>
          <w:tcPr>
            <w:tcW w:w="11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15,794 </w:t>
            </w:r>
          </w:p>
        </w:tc>
        <w:tc>
          <w:tcPr>
            <w:tcW w:w="20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2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29,231 </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09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20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09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11,398 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20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9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20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54,720 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81,661 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1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0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22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55,610 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84,714 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accrual-based revenues, property operating costs, and other segment items included in NOI by geographic reportable segment for the six months ended June 30, 2026 and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6"/>
        <w:gridCol w:w="964"/>
        <w:gridCol w:w="978"/>
        <w:gridCol w:w="219"/>
        <w:gridCol w:w="879"/>
        <w:gridCol w:w="113"/>
        <w:gridCol w:w="109"/>
        <w:gridCol w:w="109"/>
        <w:gridCol w:w="109"/>
        <w:gridCol w:w="360"/>
        <w:gridCol w:w="1438"/>
        <w:gridCol w:w="186"/>
        <w:gridCol w:w="109"/>
        <w:gridCol w:w="109"/>
        <w:gridCol w:w="109"/>
        <w:gridCol w:w="453"/>
        <w:gridCol w:w="936"/>
        <w:gridCol w:w="233"/>
        <w:gridCol w:w="109"/>
        <w:gridCol w:w="109"/>
        <w:gridCol w:w="109"/>
        <w:gridCol w:w="211"/>
        <w:gridCol w:w="841"/>
        <w:gridCol w:w="317"/>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Segment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NOI</w:t>
            </w:r>
          </w:p>
        </w:tc>
      </w:tr>
      <w:tr>
        <w:trPr/>
        <w:tc>
          <w:tcPr>
            <w:tcW w:w="303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1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91,307</w:t>
            </w:r>
            <w:r>
              <w:rPr>
                <w:color w:val="000000"/>
              </w:rPr>
              <w:t> </w:t>
            </w:r>
          </w:p>
        </w:tc>
        <w:tc>
          <w:tcPr>
            <w:tcW w:w="113"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30,073</w:t>
            </w:r>
            <w:r>
              <w:rPr>
                <w:color w:val="000000"/>
              </w:rPr>
              <w:t> </w:t>
            </w:r>
          </w:p>
        </w:tc>
        <w:tc>
          <w:tcPr>
            <w:tcW w:w="18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w:t>
            </w:r>
          </w:p>
        </w:tc>
        <w:tc>
          <w:tcPr>
            <w:tcW w:w="233"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61,152</w:t>
            </w:r>
            <w:r>
              <w:rPr>
                <w:color w:val="000000"/>
              </w:rPr>
              <w:t> </w:t>
            </w:r>
          </w:p>
        </w:tc>
        <w:tc>
          <w:tcPr>
            <w:tcW w:w="317"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52,113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21,990</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29,873</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0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37,253</w:t>
            </w:r>
            <w:r>
              <w:rPr>
                <w:color w:val="000000"/>
              </w:rPr>
              <w:t> </w:t>
            </w:r>
          </w:p>
        </w:tc>
        <w:tc>
          <w:tcPr>
            <w:tcW w:w="11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13,511</w:t>
            </w:r>
            <w:r>
              <w:rPr>
                <w:color w:val="000000"/>
              </w:rPr>
              <w:t> </w:t>
            </w:r>
          </w:p>
        </w:tc>
        <w:tc>
          <w:tcPr>
            <w:tcW w:w="1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23,742</w:t>
            </w:r>
            <w:r>
              <w:rPr>
                <w:color w:val="000000"/>
              </w:rPr>
              <w:t> </w:t>
            </w:r>
          </w:p>
        </w:tc>
        <w:tc>
          <w:tcPr>
            <w:tcW w:w="31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26,566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11,717</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w:t>
            </w: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15,103</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0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21,863</w:t>
            </w:r>
            <w:r>
              <w:rPr>
                <w:color w:val="000000"/>
              </w:rPr>
              <w:t> </w:t>
            </w:r>
          </w:p>
        </w:tc>
        <w:tc>
          <w:tcPr>
            <w:tcW w:w="11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11,374</w:t>
            </w:r>
            <w:r>
              <w:rPr>
                <w:color w:val="000000"/>
              </w:rPr>
              <w:t> </w:t>
            </w:r>
          </w:p>
        </w:tc>
        <w:tc>
          <w:tcPr>
            <w:tcW w:w="1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3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10,463</w:t>
            </w:r>
            <w:r>
              <w:rPr>
                <w:color w:val="000000"/>
              </w:rPr>
              <w:t> </w:t>
            </w:r>
          </w:p>
        </w:tc>
        <w:tc>
          <w:tcPr>
            <w:tcW w:w="31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28,636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13,386</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15,250</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19,576</w:t>
            </w:r>
            <w:r>
              <w:rPr>
                <w:color w:val="000000"/>
              </w:rPr>
              <w:t> </w:t>
            </w:r>
          </w:p>
        </w:tc>
        <w:tc>
          <w:tcPr>
            <w:tcW w:w="11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7,149</w:t>
            </w:r>
            <w:r>
              <w:rPr>
                <w:color w:val="000000"/>
              </w:rPr>
              <w:t> </w:t>
            </w:r>
          </w:p>
        </w:tc>
        <w:tc>
          <w:tcPr>
            <w:tcW w:w="18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23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12,313</w:t>
            </w:r>
            <w:r>
              <w:rPr>
                <w:color w:val="000000"/>
              </w:rPr>
              <w:t> </w:t>
            </w:r>
          </w:p>
        </w:tc>
        <w:tc>
          <w:tcPr>
            <w:tcW w:w="317"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277,314</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109,200</w:t>
            </w:r>
            <w:r>
              <w:rPr>
                <w:color w:val="000000"/>
              </w:rPr>
              <w:t>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167,896</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10,103</w:t>
            </w:r>
            <w:r>
              <w:rPr>
                <w:color w:val="000000"/>
              </w:rPr>
              <w:t> </w:t>
            </w:r>
          </w:p>
        </w:tc>
        <w:tc>
          <w:tcPr>
            <w:tcW w:w="113"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4,092</w:t>
            </w:r>
            <w:r>
              <w:rPr>
                <w:color w:val="000000"/>
              </w:rPr>
              <w:t> </w:t>
            </w:r>
          </w:p>
        </w:tc>
        <w:tc>
          <w:tcPr>
            <w:tcW w:w="18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233"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6,178</w:t>
            </w:r>
            <w:r>
              <w:rPr>
                <w:color w:val="000000"/>
              </w:rPr>
              <w:t> </w:t>
            </w:r>
          </w:p>
        </w:tc>
        <w:tc>
          <w:tcPr>
            <w:tcW w:w="317"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287,417</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113,292</w:t>
            </w:r>
            <w:r>
              <w:rPr>
                <w:color w:val="000000"/>
              </w:rPr>
              <w:t>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174,074</w:t>
            </w:r>
            <w:r>
              <w:rPr>
                <w:color w:val="000000"/>
              </w:rPr>
              <w:t>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9"/>
        <w:gridCol w:w="966"/>
        <w:gridCol w:w="980"/>
        <w:gridCol w:w="222"/>
        <w:gridCol w:w="875"/>
        <w:gridCol w:w="114"/>
        <w:gridCol w:w="109"/>
        <w:gridCol w:w="109"/>
        <w:gridCol w:w="109"/>
        <w:gridCol w:w="365"/>
        <w:gridCol w:w="1433"/>
        <w:gridCol w:w="188"/>
        <w:gridCol w:w="109"/>
        <w:gridCol w:w="109"/>
        <w:gridCol w:w="109"/>
        <w:gridCol w:w="437"/>
        <w:gridCol w:w="965"/>
        <w:gridCol w:w="225"/>
        <w:gridCol w:w="109"/>
        <w:gridCol w:w="109"/>
        <w:gridCol w:w="109"/>
        <w:gridCol w:w="211"/>
        <w:gridCol w:w="826"/>
        <w:gridCol w:w="318"/>
      </w:tblGrid>
      <w:tr>
        <w:trPr/>
        <w:tc>
          <w:tcPr>
            <w:tcW w:w="109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Segment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NOI</w:t>
            </w:r>
          </w:p>
        </w:tc>
      </w:tr>
      <w:tr>
        <w:trPr/>
        <w:tc>
          <w:tcPr>
            <w:tcW w:w="30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2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89,280 </w:t>
            </w:r>
          </w:p>
        </w:tc>
        <w:tc>
          <w:tcPr>
            <w:tcW w:w="11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32,207 </w:t>
            </w:r>
          </w:p>
        </w:tc>
        <w:tc>
          <w:tcPr>
            <w:tcW w:w="18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2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58,042 </w:t>
            </w:r>
          </w:p>
        </w:tc>
        <w:tc>
          <w:tcPr>
            <w:tcW w:w="31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09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13,356 </w:t>
            </w:r>
          </w:p>
        </w:tc>
        <w:tc>
          <w:tcPr>
            <w:tcW w:w="18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17,476 </w:t>
            </w:r>
          </w:p>
        </w:tc>
        <w:tc>
          <w:tcPr>
            <w:tcW w:w="31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09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22,206 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18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2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12,130 </w:t>
            </w:r>
          </w:p>
        </w:tc>
        <w:tc>
          <w:tcPr>
            <w:tcW w:w="31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9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18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13,724 </w:t>
            </w:r>
          </w:p>
        </w:tc>
        <w:tc>
          <w:tcPr>
            <w:tcW w:w="318"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273,089 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111,764 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163,330 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1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8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22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31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282,978 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113,524 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169,531 </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Net loss applicable to Piedmont to NOI is presented below (in thousands):</w:t>
      </w:r>
    </w:p>
    <w:p>
      <w:pPr>
        <w:pStyle w:val="TextBody"/>
        <w:bidi w:val="0"/>
        <w:spacing w:before="0" w:after="0"/>
        <w:jc w:val="both"/>
        <w:rPr/>
      </w:pPr>
      <w:r>
        <w:rPr/>
      </w:r>
    </w:p>
    <w:tbl>
      <w:tblPr>
        <w:tblW w:w="9817" w:type="dxa"/>
        <w:jc w:val="left"/>
        <w:tblInd w:w="0" w:type="dxa"/>
        <w:tblLayout w:type="fixed"/>
        <w:tblCellMar>
          <w:top w:w="28" w:type="dxa"/>
          <w:left w:w="28" w:type="dxa"/>
          <w:bottom w:w="28" w:type="dxa"/>
          <w:right w:w="28" w:type="dxa"/>
        </w:tblCellMar>
      </w:tblPr>
      <w:tblGrid>
        <w:gridCol w:w="1477"/>
        <w:gridCol w:w="1297"/>
        <w:gridCol w:w="1305"/>
        <w:gridCol w:w="212"/>
        <w:gridCol w:w="803"/>
        <w:gridCol w:w="109"/>
        <w:gridCol w:w="109"/>
        <w:gridCol w:w="109"/>
        <w:gridCol w:w="109"/>
        <w:gridCol w:w="212"/>
        <w:gridCol w:w="803"/>
        <w:gridCol w:w="109"/>
        <w:gridCol w:w="109"/>
        <w:gridCol w:w="109"/>
        <w:gridCol w:w="109"/>
        <w:gridCol w:w="211"/>
        <w:gridCol w:w="841"/>
        <w:gridCol w:w="109"/>
        <w:gridCol w:w="109"/>
        <w:gridCol w:w="109"/>
        <w:gridCol w:w="109"/>
        <w:gridCol w:w="211"/>
        <w:gridCol w:w="826"/>
        <w:gridCol w:w="311"/>
      </w:tblGrid>
      <w:tr>
        <w:trPr/>
        <w:tc>
          <w:tcPr>
            <w:tcW w:w="147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w:t>
            </w:r>
          </w:p>
        </w:tc>
        <w:tc>
          <w:tcPr>
            <w:tcW w:w="21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Management fee revenue </w:t>
            </w:r>
            <w:r>
              <w:rPr>
                <w:rFonts w:ascii="Times New Roman;serif" w:hAnsi="Times New Roman;serif"/>
                <w:b w:val="false"/>
                <w:color w:val="000000"/>
                <w:sz w:val="13"/>
              </w:rPr>
              <w:t>(1)</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59,312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118,602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111,746 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63,803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63,631 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noncontrolling interest</w:t>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NOI</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88,137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169,531 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Presented net of related operating expenses incurred to earn such management fee revenue. Such operating expenses are a component of property operating costs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accompanying consolidated financial statements and notes thereto of Piedmont Realty Trust, Inc. (“Piedmont,” "we," "our," or "us"). See also “Cautionary Note Regarding Forward-Looking Statements” preceding Part I, as well as the consolidated financial statements and accompanying notes thereto and Management’s Discussion and Analysis of Financial Condition and Results of Operations included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use cash on hand, cash flows generated from the operation of our properties, net proceeds from the disposition of select properties, and borrowings under our $600 Million Unsecured 2022 Line of Credit as our primary sources of immediate liquidity. As of June 30, 2026, we had $16.8 million of cash on hand, the full borrowing capacity available under our $600 Million Unsecured 2022 Line of Credit and no required debt maturities until 2028. Consequently, we believe we have sufficient liquidity to meet our obligations for the foreseeable future; however, as part of our overall debt management strategy, we may seek other new secured or unsecured borrowings from third-party lenders or issue other debt or equity securities as additional sources of capital. The nature and timing of these additional sources of capital will be highly dependent upon market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consistent use of capital has historically been, and we believe will continue to be, to fund capital expenditures for our existing portfolio of projects. During the six months ended June 30, 2026 and 2025, we incurred the following types of capital expenditures (in thousands):</w:t>
      </w:r>
    </w:p>
    <w:p>
      <w:pPr>
        <w:pStyle w:val="TextBody"/>
        <w:bidi w:val="0"/>
        <w:spacing w:before="0" w:after="0"/>
        <w:jc w:val="both"/>
        <w:rPr/>
      </w:pPr>
      <w:r>
        <w:rPr/>
      </w:r>
    </w:p>
    <w:tbl>
      <w:tblPr>
        <w:tblW w:w="8620" w:type="dxa"/>
        <w:jc w:val="center"/>
        <w:tblInd w:w="0" w:type="dxa"/>
        <w:tblLayout w:type="fixed"/>
        <w:tblCellMar>
          <w:top w:w="28" w:type="dxa"/>
          <w:left w:w="28" w:type="dxa"/>
          <w:bottom w:w="28" w:type="dxa"/>
          <w:right w:w="28" w:type="dxa"/>
        </w:tblCellMar>
      </w:tblPr>
      <w:tblGrid>
        <w:gridCol w:w="2175"/>
        <w:gridCol w:w="1908"/>
        <w:gridCol w:w="1916"/>
        <w:gridCol w:w="224"/>
        <w:gridCol w:w="784"/>
        <w:gridCol w:w="116"/>
        <w:gridCol w:w="109"/>
        <w:gridCol w:w="109"/>
        <w:gridCol w:w="109"/>
        <w:gridCol w:w="227"/>
        <w:gridCol w:w="777"/>
        <w:gridCol w:w="166"/>
      </w:tblGrid>
      <w:tr>
        <w:trPr/>
        <w:tc>
          <w:tcPr>
            <w:tcW w:w="217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redevelopment/renovations</w:t>
            </w:r>
          </w:p>
        </w:tc>
        <w:tc>
          <w:tcPr>
            <w:tcW w:w="22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13,433</w:t>
            </w:r>
            <w:r>
              <w:rPr>
                <w:color w:val="000000"/>
              </w:rPr>
              <w:t> </w:t>
            </w:r>
          </w:p>
        </w:tc>
        <w:tc>
          <w:tcPr>
            <w:tcW w:w="11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16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capital expenditures, including building and tenant improvements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58,413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capital expenditures </w:t>
            </w:r>
            <w:r>
              <w:rPr>
                <w:rFonts w:ascii="Times New Roman;serif" w:hAnsi="Times New Roman;serif"/>
                <w:b w:val="false"/>
                <w:color w:val="000000"/>
                <w:sz w:val="13"/>
              </w:rPr>
              <w:t>(1)</w:t>
            </w:r>
          </w:p>
        </w:tc>
        <w:tc>
          <w:tcPr>
            <w:tcW w:w="224"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71,846</w:t>
            </w:r>
            <w:r>
              <w:rPr>
                <w:color w:val="000000"/>
              </w:rPr>
              <w:t> </w:t>
            </w:r>
          </w:p>
        </w:tc>
        <w:tc>
          <w:tcPr>
            <w:tcW w:w="11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81,572 </w:t>
            </w:r>
          </w:p>
        </w:tc>
        <w:tc>
          <w:tcPr>
            <w:tcW w:w="16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2"/>
        </w:rPr>
        <w:t>(1)</w:t>
      </w:r>
      <w:r>
        <w:rPr>
          <w:rFonts w:ascii="Times New Roman;serif" w:hAnsi="Times New Roman;serif"/>
          <w:b w:val="false"/>
          <w:color w:val="000000"/>
          <w:sz w:val="18"/>
        </w:rPr>
        <w:t>Of the total amounts paid, approximately $4.6 million and $10.2 million relates to soft costs such as capitalized interest, payroll, and other property operating costs for the six months ended June 30, 2026 and 2025,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"Capital expenditures for redevelopment/renovations" during the six months ended June 30, 2026 and </w:t>
      </w:r>
      <w:r>
        <w:rPr>
          <w:rFonts w:ascii="Times New Roman;serif" w:hAnsi="Times New Roman;serif"/>
          <w:b w:val="false"/>
          <w:color w:val="000000"/>
          <w:sz w:val="18"/>
        </w:rPr>
        <w:t>2025</w:t>
      </w:r>
      <w:r>
        <w:rPr>
          <w:color w:val="000000"/>
        </w:rPr>
        <w:t xml:space="preserve"> </w:t>
      </w:r>
      <w:r>
        <w:rPr>
          <w:rFonts w:ascii="Times New Roman;serif" w:hAnsi="Times New Roman;serif"/>
          <w:b w:val="false"/>
          <w:color w:val="000000"/>
          <w:sz w:val="20"/>
        </w:rPr>
        <w:t>related to building upgrades, primarily to the lobbies and the addition of tenant amenities at certain of our buildings and assets under redevelopment.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capital expenditures, including building and tenant improvements" noted above includes all other capital expenditures during the period and are typically comprised of tenant and building improvements necessary to lease, maintain, or provide enhancements, including energy efficient equipment, to our existing portfolio of office projects.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Given that our operating model frequently results in leases for multiple blocks of space to credit-worthy tenants, our leasing success can result in capital outlays which vary from one reporting period to another based upon the specific leases executed. For leases executed during the six months ended June 30, 2026, we committed to spend approximately $5.54 per square foot per year of lease term for tenant improvement allowances and lease commissions (net of expired lease commitments) as compared to $6.72 (net of expired lease commitments) for the six months ended June 30, 2025. As of June 30, 2026, we had no individually significant unrecorded tenant allowance commitment greater than $10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amounts that we have already committed to as a part of executed leases, we also anticipate continuing to incur similar market-based tenant improvement allowances and leasing commissions in conjunction with procuring future leases for our existing portfolio of properties. Both the timing and magnitude of expenditures related to future leasing activity can vary due to a number of factors and are highly dependent on the size of the leased square footage, length of the lease term, and the competitive market conditions of the particular office market at the time a lease is being negotiated, in addition to the impact of inflation and rising costs of construction.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reducing outstanding debt remains our priority, subject to the identification and availability of select investment opportunities and our ability to consummate such acquisitions on satisfactory terms, acquiring new assets consistent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strategy could also be a significant use of capital. Additionally, we may use capital to repay debt when we deem it prudent to refinance or repay various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although we did not declare or pay dividends on our common stock during the six months ended June 30, 2026, we may also use capital resources to pay dividends to our stockholders. The amount and form of payment (cash or stock issuance) of future dividends, if any, to be paid to our stockholders will continue to be largely dependent upon (i) the amount of cash generated from our operating activities; (ii) our expectations of future cash flows; (iii) our determination of near-term cash needs for debt repayments, development projects, and selective acquisitions of new properties; (iv) the timing of significant expenditures for tenant improvements, leasing commissions, building redevelopment projects, and general property improvements; (v) long-term dividend payout ratios for comparable companies; (vi) our ability to continue to access additional sources of capital, including potential sales of our properties; (vii) our desire to reduce overall leverage; and (viii) the amount required to be distributed to maintain our status as a REIT. With the fluctuating nature of cash flows and expenditures, we may periodically borrow funds on a short-term basis to cover timing differences in cash receipts and cash disbursements, including to pay dividends to our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applicable to common stockholders for the three months ended June 30, 2026 was approximately $11.1 million, or $0.09 per diluted share, as compared with net loss applicable to common stockholders of $16.8 million, or $0.14 per diluted share, for the three months ended June 30, 2025. The primary driver of the decrease in net loss was an approximately $7.5 million loss on early extinguishment of debt recognized during the second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0"/>
        </w:rPr>
        <w:t>Comparison of the three months ended June 30, 2026 versus the three months ended</w:t>
      </w:r>
      <w:r>
        <w:rPr>
          <w:color w:val="000000"/>
        </w:rPr>
        <w:t xml:space="preserve"> </w:t>
      </w:r>
      <w:r>
        <w:rPr>
          <w:rFonts w:ascii="Times New Roman;serif" w:hAnsi="Times New Roman;serif"/>
          <w:b w:val="false"/>
          <w:i/>
          <w:color w:val="000000"/>
          <w:sz w:val="20"/>
        </w:rPr>
        <w:t xml:space="preserve">June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Continuing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data from our consolidated statements of operations for the three months ended June 30, 2026 and 2025, respectively, as well as each balance as a percentage of total revenues for each period presented (dollars in millions):</w:t>
      </w:r>
    </w:p>
    <w:p>
      <w:pPr>
        <w:pStyle w:val="TextBody"/>
        <w:bidi w:val="0"/>
        <w:spacing w:before="0" w:after="0"/>
        <w:jc w:val="both"/>
        <w:rPr/>
      </w:pPr>
      <w:r>
        <w:rPr/>
      </w:r>
    </w:p>
    <w:tbl>
      <w:tblPr>
        <w:tblW w:w="9871" w:type="dxa"/>
        <w:jc w:val="center"/>
        <w:tblInd w:w="0" w:type="dxa"/>
        <w:tblLayout w:type="fixed"/>
        <w:tblCellMar>
          <w:top w:w="28" w:type="dxa"/>
          <w:left w:w="28" w:type="dxa"/>
          <w:bottom w:w="28" w:type="dxa"/>
          <w:right w:w="28" w:type="dxa"/>
        </w:tblCellMar>
      </w:tblPr>
      <w:tblGrid>
        <w:gridCol w:w="1262"/>
        <w:gridCol w:w="1111"/>
        <w:gridCol w:w="1122"/>
        <w:gridCol w:w="211"/>
        <w:gridCol w:w="631"/>
        <w:gridCol w:w="109"/>
        <w:gridCol w:w="109"/>
        <w:gridCol w:w="109"/>
        <w:gridCol w:w="109"/>
        <w:gridCol w:w="264"/>
        <w:gridCol w:w="264"/>
        <w:gridCol w:w="657"/>
        <w:gridCol w:w="109"/>
        <w:gridCol w:w="109"/>
        <w:gridCol w:w="109"/>
        <w:gridCol w:w="211"/>
        <w:gridCol w:w="616"/>
        <w:gridCol w:w="109"/>
        <w:gridCol w:w="109"/>
        <w:gridCol w:w="109"/>
        <w:gridCol w:w="109"/>
        <w:gridCol w:w="264"/>
        <w:gridCol w:w="264"/>
        <w:gridCol w:w="657"/>
        <w:gridCol w:w="109"/>
        <w:gridCol w:w="109"/>
        <w:gridCol w:w="109"/>
        <w:gridCol w:w="221"/>
        <w:gridCol w:w="427"/>
        <w:gridCol w:w="163"/>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tenant reimbursement revenue</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related income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w:t>
            </w:r>
          </w:p>
        </w:tc>
        <w:tc>
          <w:tcPr>
            <w:tcW w:w="9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Rental and tenant reimbursement revenue increased approximately $3.3 million for the three months ended June 30, 2026, as compared to the same period in the prior year. The increase was primarily due to the roll-up of rental rates and new leases commencing during the twelve months ended June 30, 2026, contributing approximately $4.7 million. The impact of this increase was partially offset by the disposition of one project subsequent to April 1, 2025 in our Boston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property related income increased approximately $0.4 million for the three months ended June 30, 2026 as compared to the same period in the prior year primarily due to increased parking income associated with increased utilization and higher transient parking at our office projects during the current period, as compared to the prior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operating costs increased approximately $0.4 million for the three months ended June 30, 2026 as compared to the same period in the prior year. The increase was primarily due to higher recoverable utility and janitorial expenses, which were partially offset by the disposition of one project subsequent to April 1, 2025 in our Boston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increased approximately $4.2 million for the three months ended June 30, 2026 as compared to the same period in the prior year. The increase was primarily due to additional building improvements placed in service subsequent to April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decreased approximately $0.3 million for the three months ended June 30, 2026 as compared to the same period in the prior year. The decrease was primarily due to amortization expense associated with certain lease intangible assets at our existing projects becoming fully amortized subsequent to April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approximately $0.2 million for the three months ended June 30, 2026 compared to the same period in the prior year, primarily due to increased accruals for potential performance-based compensation during the six months ended June 30,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repurchased approximately $67.5 million of the aggregate principal amount of the $600 Million Unsecured Senior Notes due 2028. The premium paid to repurchase the debt, as well as the write-off of the pro-rata share of unamortized debt issuance costs, resulted in the recognition of a $7.5 million loss on early extinguishment of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on sale of real estate assets during the three months ended June 30, 2025 primarily consists of the gain recognized on the sale of the 80 and 90 Central project in Boston, Massachusetts, which closed in May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2026 Versus the Six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data from our consolidated statements of operations for the six months ended June 30, 2026 and 2025, respectively, as well as each balance as a percentage of total revenues for each period presented (dollars in millions):</w:t>
      </w:r>
    </w:p>
    <w:p>
      <w:pPr>
        <w:pStyle w:val="TextBody"/>
        <w:bidi w:val="0"/>
        <w:spacing w:before="0" w:after="0"/>
        <w:jc w:val="both"/>
        <w:rPr/>
      </w:pPr>
      <w:r>
        <w:rPr/>
      </w:r>
    </w:p>
    <w:tbl>
      <w:tblPr>
        <w:tblW w:w="9871" w:type="dxa"/>
        <w:jc w:val="center"/>
        <w:tblInd w:w="0" w:type="dxa"/>
        <w:tblLayout w:type="fixed"/>
        <w:tblCellMar>
          <w:top w:w="28" w:type="dxa"/>
          <w:left w:w="28" w:type="dxa"/>
          <w:bottom w:w="28" w:type="dxa"/>
          <w:right w:w="28" w:type="dxa"/>
        </w:tblCellMar>
      </w:tblPr>
      <w:tblGrid>
        <w:gridCol w:w="1262"/>
        <w:gridCol w:w="1111"/>
        <w:gridCol w:w="1122"/>
        <w:gridCol w:w="211"/>
        <w:gridCol w:w="631"/>
        <w:gridCol w:w="109"/>
        <w:gridCol w:w="109"/>
        <w:gridCol w:w="109"/>
        <w:gridCol w:w="109"/>
        <w:gridCol w:w="264"/>
        <w:gridCol w:w="264"/>
        <w:gridCol w:w="657"/>
        <w:gridCol w:w="109"/>
        <w:gridCol w:w="109"/>
        <w:gridCol w:w="109"/>
        <w:gridCol w:w="211"/>
        <w:gridCol w:w="616"/>
        <w:gridCol w:w="109"/>
        <w:gridCol w:w="109"/>
        <w:gridCol w:w="109"/>
        <w:gridCol w:w="109"/>
        <w:gridCol w:w="264"/>
        <w:gridCol w:w="264"/>
        <w:gridCol w:w="657"/>
        <w:gridCol w:w="109"/>
        <w:gridCol w:w="109"/>
        <w:gridCol w:w="109"/>
        <w:gridCol w:w="221"/>
        <w:gridCol w:w="427"/>
        <w:gridCol w:w="163"/>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tenant reimbursement revenue</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related income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w:t>
            </w:r>
          </w:p>
        </w:tc>
        <w:tc>
          <w:tcPr>
            <w:tcW w:w="9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3"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Rental and tenant reimbursement revenue increased approximately $3.7 million for the six months ended June 30, 2026 as compared to the same period in the prior year. The increase was primarily due to the roll-up of rental rates and new leases commencing during the twelve months ended June 30, 2026, contributing approximately $7.2 million. The impact of this increase was partially offset by the disposition of two projects subsequent to January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property related income increased approximately $0.7 million for the six months ended June 30, 2026 as compared to the same period in the prior year primarily due to increased parking income associated with increased utilization and higher transient parking at our office projects during the current period, as compared to the prior period.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operating costs decreased approximately $0.2 million for the six months ended June 30, 2026 as compared to the same period in the prior year. The decrease was primarily due to project dispositions subsequent to January 1, 2025 (as discussed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increased approximately $7.4 million for the six months ended June 30, 2026 as compared to the same period in the prior year. The increase was primarily due to additional building and tenant improvements placed in service subsequent to January 1, 2025, which were partially offset by project dispositions during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decreased approximately $0.4 million for the six months ended June 30, 2026 as compared to the same period in the prior year. The decrease in amortization expense is associated with certain lease intangible assets at our existing projects becoming fully amortized subsequent to January 1, 2025. The decrease was largely offset by an increase in amortization expense associated with deferred lease acquisition costs associated with increased new leasing activity during the twelve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approximately $0.6 million for the six months ended June 30, 2026 compared to the prior year primarily reflecting increased personnel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repurchased approximately $67.5 million of the aggregate principal amount of the $600 Million Unsecured Senior Notes due 2028. The premium paid to repurchase the debt, as well as the write-off of the pro-rata share of unamortized debt issuance costs, resulted in the recognition of a $7.5 million loss on early extinguishment of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on sale of real estate assets during the six months ended June 30, 2025 primarily consists of the gain recognized on the sale of the 80 and 90 Central project in Boston, Massachusetts, which closed in May of 2025, as well as recognition of the return of amounts held in escrow for the 750 West John Carpenter building sold in July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and Guarantor Financial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June 30, 2026, Piedmont, through its wholly-owned subsidiary Piedmont OP, had five separate issuances totaling approximately $1.7 billion of senior unsecured notes payable outstanding that mature in 2028, 2029, 2030, 2032 and 2033 (see </w:t>
      </w:r>
      <w:hyperlink w:anchor="ia14037a9e9c3497ea345c062eac82108_52">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to our accompanying consolidated financial statements for additional details regarding each of these issuances) (collectively, the "Notes"). The Notes are senior unsecured obligations of Piedmont OP, rank equally in right of payment with all of Piedmont OP's other existing and future senior unsecured indebtedness, and would be effectively subordinated in right of payment to any of Piedmont OP’s future mortgage or other secured indebtedness (to the extent of the value of the collateral securing such indebtedness) and to all existing and future indebtedness and other liabilities of Piedmont OP’s subsidiaries, whether secured or unsecured.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are fully and unconditionally guaranteed by Piedmont, the parent entity that consolidates Piedmont OP and all other subsidiaries. In particular, Piedmont guarantees to each holder of the Notes that the principal and interest on the Notes will be paid in full when due, whether at the maturity dates of the respective loans, or upon acceleration, upon redemption, or otherwise; interest on overdue principal and interest on any overdue interest, if any, on the Notes will also be paid in full when due; and all other obligations of Piedmont OP to the holders of the Notes will be promptly paid in full. Piedmont's guarantee of the Notes is its senior unsecured obligation and ranks equally in right of payment with all of Piedmont's other existing and future senior unsecured indebtedness and guarantees. Piedmont’s guarantee of the Notes is effectively subordinated in right of payment to any future mortgage or other secured indebtedness or secured guarantees of Piedmont (to the extent of the value of the collateral securing such indebtedness and guarantees); and all existing and future indebtedness and other liabilities, whether secured or unsecured, of Piedmont’s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the bankruptcy, liquidation, reorganization or other winding up of Piedmont OP or Piedmont, assets that secure any of their respective secured indebtedness and other secured obligations will be available to pay their respective obligations under the Notes or the guarantee, as applicable, and their other respective unsecured indebtedness and other unsecured obligations only after all of their respective indebtedness and other obligations secured by those assets have been repaid in full.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non-guarantor subsidiaries are separate and distinct legal entities and have no obligation, contingent or otherwise, to pay any amounts due pursuant to the Notes, or to make any funds available therefor, whether by dividends, loans, distributions or other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13-01 of Regulation S-X, Guarantors and Issuers of Guaranteed Securities Registered or Being Registered, the following tables present summarized financial information for Piedmont OP as issuer and Piedmont as guarantor on a combined basis after elimination of (i) intercompany transactions and balances among Piedmont OP and Piedmont and (ii) equity in earnings from and investments in any subsidiary that is a non-guarantor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66"/>
        <w:gridCol w:w="1928"/>
        <w:gridCol w:w="1939"/>
        <w:gridCol w:w="211"/>
        <w:gridCol w:w="991"/>
        <w:gridCol w:w="109"/>
        <w:gridCol w:w="109"/>
        <w:gridCol w:w="109"/>
        <w:gridCol w:w="109"/>
        <w:gridCol w:w="381"/>
        <w:gridCol w:w="1771"/>
        <w:gridCol w:w="282"/>
      </w:tblGrid>
      <w:tr>
        <w:trPr/>
        <w:tc>
          <w:tcPr>
            <w:tcW w:w="226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6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Balances of Piedmont OP and Piedmont Realty Trust, Inc. as Issuer and Guarantor, respectively</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December 31, 2025</w:t>
            </w:r>
          </w:p>
        </w:tc>
      </w:tr>
      <w:tr>
        <w:trPr/>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non-guarantor subsidiary</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8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240,324 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2,124,324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2,085,214 </w:t>
            </w:r>
          </w:p>
        </w:tc>
        <w:tc>
          <w:tcPr>
            <w:tcW w:w="28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613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23,583</w:t>
            </w:r>
            <w:r>
              <w:rPr>
                <w:color w:val="000000"/>
              </w:rPr>
              <w:t> </w:t>
            </w:r>
          </w:p>
        </w:tc>
        <w:tc>
          <w:tcPr>
            <w:tcW w:w="282"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(58,410)</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Operating Income by Geographic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President and Chief Executive Officer is our CODM, who evaluates our portfolio and assesses the ongoing operations and performance of our projects utilizing the following geographic segments: Atlanta, Dallas, Orlando, Northern Virginia/Washington, D.C., Minneapolis, New York, and Boston. These operating segments are also our reportable segments. Additionally, as of June 30, 2026, we owned two properties in Houston that did not meet the definition of an operating or reportable segment as the CODM does not regularly review these properties for purposes of allocating resources or assessing performance, and we do not maintain a significant presence or anticipate further investment in this market. These two properties are included in "Other" below. See </w:t>
      </w:r>
      <w:hyperlink w:anchor="ia14037a9e9c3497ea345c062eac82108_94">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to the accompanying consolidated financial statements for additional information and a reconciliation of Net loss applicable to Piedmont to NOI.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NOI by geographic segment (in thousands):</w:t>
      </w:r>
    </w:p>
    <w:p>
      <w:pPr>
        <w:pStyle w:val="TextBody"/>
        <w:bidi w:val="0"/>
        <w:spacing w:before="0" w:after="0"/>
        <w:jc w:val="left"/>
        <w:rPr/>
      </w:pPr>
      <w:r>
        <w:rPr/>
      </w:r>
    </w:p>
    <w:tbl>
      <w:tblPr>
        <w:tblW w:w="8798" w:type="dxa"/>
        <w:jc w:val="left"/>
        <w:tblInd w:w="0" w:type="dxa"/>
        <w:tblLayout w:type="fixed"/>
        <w:tblCellMar>
          <w:top w:w="28" w:type="dxa"/>
          <w:left w:w="28" w:type="dxa"/>
          <w:bottom w:w="28" w:type="dxa"/>
          <w:right w:w="28" w:type="dxa"/>
        </w:tblCellMar>
      </w:tblPr>
      <w:tblGrid>
        <w:gridCol w:w="1104"/>
        <w:gridCol w:w="971"/>
        <w:gridCol w:w="985"/>
        <w:gridCol w:w="224"/>
        <w:gridCol w:w="784"/>
        <w:gridCol w:w="116"/>
        <w:gridCol w:w="109"/>
        <w:gridCol w:w="109"/>
        <w:gridCol w:w="109"/>
        <w:gridCol w:w="228"/>
        <w:gridCol w:w="779"/>
        <w:gridCol w:w="117"/>
        <w:gridCol w:w="109"/>
        <w:gridCol w:w="109"/>
        <w:gridCol w:w="109"/>
        <w:gridCol w:w="211"/>
        <w:gridCol w:w="841"/>
        <w:gridCol w:w="109"/>
        <w:gridCol w:w="109"/>
        <w:gridCol w:w="109"/>
        <w:gridCol w:w="109"/>
        <w:gridCol w:w="211"/>
        <w:gridCol w:w="826"/>
        <w:gridCol w:w="311"/>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2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29,720</w:t>
            </w:r>
            <w:r>
              <w:rPr>
                <w:color w:val="000000"/>
              </w:rPr>
              <w:t> </w:t>
            </w:r>
          </w:p>
        </w:tc>
        <w:tc>
          <w:tcPr>
            <w:tcW w:w="11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29,231 </w:t>
            </w:r>
          </w:p>
        </w:tc>
        <w:tc>
          <w:tcPr>
            <w:tcW w:w="117"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61,152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58,042 </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0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11,740</w:t>
            </w:r>
            <w:r>
              <w:rPr>
                <w:color w:val="000000"/>
              </w:rPr>
              <w:t> </w:t>
            </w:r>
          </w:p>
        </w:tc>
        <w:tc>
          <w:tcPr>
            <w:tcW w:w="11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1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23,742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0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5,793</w:t>
            </w:r>
            <w:r>
              <w:rPr>
                <w:color w:val="000000"/>
              </w:rPr>
              <w:t> </w:t>
            </w:r>
          </w:p>
        </w:tc>
        <w:tc>
          <w:tcPr>
            <w:tcW w:w="11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1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6,204</w:t>
            </w:r>
            <w:r>
              <w:rPr>
                <w:color w:val="000000"/>
              </w:rPr>
              <w:t> </w:t>
            </w:r>
          </w:p>
        </w:tc>
        <w:tc>
          <w:tcPr>
            <w:tcW w:w="11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1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12,313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85,021</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167,896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163,330 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3,116</w:t>
            </w:r>
            <w:r>
              <w:rPr>
                <w:color w:val="000000"/>
              </w:rPr>
              <w:t> </w:t>
            </w:r>
          </w:p>
        </w:tc>
        <w:tc>
          <w:tcPr>
            <w:tcW w:w="11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17"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6,178</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3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NOI</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88,137</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169,531 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2026 Versus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Atlanta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increased due to new leases commencing and/or current tenants expanding at our 1155 Perimeter Center West and Galleria on the Park projects during the six months ended June 30, 2026 as compared to the same period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Dallas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decreased primarily due to decreased occupancy at our Galleria Towers project, partially offset by several new tenant starts during the six months ended June 30, 2026 as compared to the same period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Orlando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increased primarily due to several leases commencing at 501 West Church and 200 South Orange at The Exchange projects.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Funds From Operations ("FFO"), Core Funds From Operations ("Core FFO"), and Adjusted Funds From Operations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calculated in accordance with GAAP is the starting point for calculating FFO, Core FFO, and AFFO. These metrics are non-GAAP financial measures and should not be viewed as an alternative measurement of our operating performance to net loss. Management believes that accounting for real estate assets in accordance with GAAP implicitly assumes that the value of real estate assets diminishes predictably over time. Since real estate values have historically risen or fallen with market conditions, many industry investors and analysts have considered the presentation of operating results for real estate companies that use historical cost accounting alone to be insufficient. As a result, we believe that the additive use of FFO, Core FFO, and AFFO, together with the required GAAP presentation, provides a more complete understanding of our performance relative to our competitors and a more informed and appropriate basis on which to make decisions involving operating, financing, and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FFO in accordance with the current National Association of Real Estate Investment Trusts ("NAREIT") definition. NAREIT currently defines FFO as Net loss (calculated in accordance with GAAP), excluding depreciation and amortization related to real estate, gains and losses from the sale of certain real estate assets, gains and losses from change in control, and impairment write-downs of certain real estate assets, goodwill, and investment in entities when the impairment is directly attributable to decreases in the value of depreciable real estate held by the entity, along with appropriate adjustments to those reconciling items for joint ventures, if any. Other REITs may not define FFO in accordance with the NAREIT definition, or may interpret the current NAREIT definition differently than we do; therefore, our computation of FFO may not be comparable to the computation made by other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Core FFO by starting with FFO, as defined by NAREIT, and adjusting for gains or losses on the early extinguishment of debt and any significant non-recurring or infrequent items. Core FFO is a non-GAAP financial measure and should not be viewed as an alternative to net loss calculated in accordance with GAAP as a measurement of our operating performance. We believe that Core FFO is helpful to investors as a supplemental performance measure because it excludes the effects of certain infrequent or non-recurring items which can create significant earnings volatility, but which do not directly relate to our core recurring business operations. As a result, we believe that Core FFO can help facilitate comparisons of operating performance between periods and provides a more meaningful predictor of future earnings potential. Other REITs may not define Core FFO in the same manner as us; therefore, our computation of Core FFO may not be comparable to the computation made by other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AFFO by starting with Core FFO and adjusting for non-incremental capital expenditures and then adding back certain non-cash items including: non-real estate depreciation, straight-lined rents and fair value lease adjustments, non-cash components of interest expense and compensation expense, and by making similar adjustments for joint ventures, if any. AFFO is a non-GAAP financial measure and should not be viewed as an alternative to net loss calculated in accordance with GAAP as a measurement of our operating performance. We believe that AFFO is helpful to investors as a meaningful supplemental comparative performance measure of our ability to make incremental capital investments in new properties or enhancements to existing properties that improve revenue growth potential. Other REITs may not define AFFO in the same manner as us; therefore, our computation of AFFO may not be comparable to the computation of other REITs.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of net loss applicable to common stock to FFO, Core FFO, and AFFO for the three and six months ended June 30, 2026 and 2025 are presented below (in thousands except per share amounts):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21"/>
        <w:gridCol w:w="1497"/>
        <w:gridCol w:w="1503"/>
        <w:gridCol w:w="211"/>
        <w:gridCol w:w="794"/>
        <w:gridCol w:w="109"/>
        <w:gridCol w:w="109"/>
        <w:gridCol w:w="109"/>
        <w:gridCol w:w="109"/>
        <w:gridCol w:w="211"/>
        <w:gridCol w:w="794"/>
        <w:gridCol w:w="109"/>
        <w:gridCol w:w="109"/>
        <w:gridCol w:w="109"/>
        <w:gridCol w:w="109"/>
        <w:gridCol w:w="211"/>
        <w:gridCol w:w="794"/>
        <w:gridCol w:w="109"/>
        <w:gridCol w:w="109"/>
        <w:gridCol w:w="109"/>
        <w:gridCol w:w="109"/>
        <w:gridCol w:w="211"/>
        <w:gridCol w:w="794"/>
        <w:gridCol w:w="156"/>
      </w:tblGrid>
      <w:tr>
        <w:trPr/>
        <w:tc>
          <w:tcPr>
            <w:tcW w:w="172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 applicable to Piedmont (GAAP basis)</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of real estate assets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lease-related costs</w:t>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NAREIT FFO applicable to common stock</w:t>
            </w:r>
          </w:p>
        </w:tc>
        <w:tc>
          <w:tcPr>
            <w:tcW w:w="1005"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47,863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37,012 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93,881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82,045 </w:t>
            </w:r>
          </w:p>
        </w:tc>
        <w:tc>
          <w:tcPr>
            <w:tcW w:w="1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Core FFO applicable to common stock</w:t>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93,881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 on debt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of non-real estate assets</w:t>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Straight-line effects of lease revenue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adjustments</w:t>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lease-related intangibles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Non-incremental capital expenditures </w:t>
            </w:r>
            <w:r>
              <w:rPr>
                <w:rFonts w:ascii="Times New Roman;serif" w:hAnsi="Times New Roman;serif"/>
                <w:b w:val="false"/>
                <w:color w:val="000000"/>
                <w:sz w:val="13"/>
              </w:rPr>
              <w:t>(1)</w:t>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(14,234)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(31,348)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(33,879)</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AFFO applicable to common stock</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Weighted-average shares outstanding – diluted </w:t>
            </w:r>
            <w:r>
              <w:rPr>
                <w:rFonts w:ascii="Times New Roman;serif" w:hAnsi="Times New Roman;serif"/>
                <w:b w:val="false"/>
                <w:color w:val="000000"/>
                <w:sz w:val="13"/>
              </w:rPr>
              <w:t>(2)</w:t>
            </w:r>
          </w:p>
        </w:tc>
        <w:tc>
          <w:tcPr>
            <w:tcW w:w="1005"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126,914</w:t>
            </w:r>
            <w:r>
              <w:rPr>
                <w:color w:val="000000"/>
              </w:rPr>
              <w:t>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125,178 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126,728</w:t>
            </w:r>
            <w:r>
              <w:rPr>
                <w:color w:val="000000"/>
              </w:rPr>
              <w:t>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125,126 </w:t>
            </w:r>
          </w:p>
        </w:tc>
        <w:tc>
          <w:tcPr>
            <w:tcW w:w="156"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NAREIT FFO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FFO per share (diluted)</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We define non-incremental capital expenditures as capital expenditures of a recurring nature related to tenant improvements, leasing commissions, and building capital that do not incrementally enhance the underlying assets' income generating capacity. Tenant improvements, leasing commissions, building capital and deferred lease incentives incurred to lease space that was vacant at acquisition, leasing costs for spaces vacant for greater than one year, leasing costs for spaces at newly acquired properties for which in-place leases expire shortly after acquisition, improvements associated with the expansion of a building, and renovations that either enhance the rental rates of a building or change the property's underlying classification, such as from a Class B to a Class A property, are excluded from this measure.</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Includes potential dilution under the treasury stock method that would occur if our remaining unvested and potential stock awards vested and resulted in additional common shares outstanding. Such shares are not included when calculating net loss per share applicable to Piedmont for the three and six months ended June 30, 2026 and 2025</w:t>
      </w:r>
      <w:r>
        <w:rPr>
          <w:rFonts w:ascii="Times New Roman;serif" w:hAnsi="Times New Roman;serif"/>
          <w:b w:val="false"/>
          <w:color w:val="000000"/>
          <w:sz w:val="20"/>
        </w:rPr>
        <w:t xml:space="preserve">, </w:t>
      </w:r>
      <w:r>
        <w:rPr>
          <w:rFonts w:ascii="Times New Roman;serif" w:hAnsi="Times New Roman;serif"/>
          <w:b w:val="false"/>
          <w:color w:val="000000"/>
          <w:sz w:val="18"/>
        </w:rPr>
        <w:t>respectively, as they would reduce the loss per share presented.</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Property and Same Store Net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Net Operating Income ("Property NOI") is a non-GAAP measure which we use to assess our operating results. We calculate Property NOI beginning with Net loss (calculated in accordance with GAAP) before adjusting for interest, depreciation and amortization and removing any impairments and gains or losses from sales of property and other significant infrequent items that create volatility within our earnings and make it difficult to determine the earnings generated by our core ongoing business. Furthermore, we remove general and administrative expenses, income associated with property management performed by us for other organizations, and other income or expense items. For Property NOI (cash basis), straight-lined rents and fair value lease revenue are also eliminated; while such effects are not adjusted in calculating Property NOI (accrual basis). Property NOI is a non-GAAP financial measure and should not be viewed as an alternative to net loss calculated in accordance with GAAP as a measurement of our operating performance. We believe that Property NOI, on either a cash or accrual basis, is helpful to investors as a supplemental comparative performance measure of income generated by our properties alone without our administrative overhead. Other REITs may not define Property NOI in the same manner as we do; therefore, our computation of Property NOI may not be comparable to that of other REITs.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Same Store Net Operating Income ("Same Store NOI") as Property NOI attributable to the properties (excluding undeveloped land parcels) that were (i) owned by us during the entire span of the current and prior year reporting periods; and (ii) that were not out of service for development or redevelopment during those periods. Same Store NOI, on either a cash or accrual basis, is a non-GAAP financial measure and should not be viewed as an alternative to net loss calculated in accordance with GAAP as a measurement of our operating performance. We believe that Same Store NOI is helpful to investors as a supplemental comparative performance measure of the income generated from the same group of properties from one period to the next. Other REITs may not define Same Store NOI in the same manner as we do; therefore, our computation of Same Store NOI may not be comparable to that of other REITs.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from net loss calculated in accordance with GAAP to EBITDAre, Core EBITDA, Property NOI, and Same Store NOI, on both a cash and accrual basis, for the three months ended June 30, 2026 and 2025, respectively (in thousands):</w:t>
      </w:r>
    </w:p>
    <w:p>
      <w:pPr>
        <w:pStyle w:val="TextBody"/>
        <w:bidi w:val="0"/>
        <w:spacing w:before="0" w:after="0"/>
        <w:jc w:val="both"/>
        <w:rPr/>
      </w:pPr>
      <w:r>
        <w:rPr/>
      </w:r>
    </w:p>
    <w:tbl>
      <w:tblPr>
        <w:tblW w:w="9894" w:type="dxa"/>
        <w:jc w:val="center"/>
        <w:tblInd w:w="0" w:type="dxa"/>
        <w:tblLayout w:type="fixed"/>
        <w:tblCellMar>
          <w:top w:w="28" w:type="dxa"/>
          <w:left w:w="28" w:type="dxa"/>
          <w:bottom w:w="28" w:type="dxa"/>
          <w:right w:w="28" w:type="dxa"/>
        </w:tblCellMar>
      </w:tblPr>
      <w:tblGrid>
        <w:gridCol w:w="1476"/>
        <w:gridCol w:w="1298"/>
        <w:gridCol w:w="1306"/>
        <w:gridCol w:w="211"/>
        <w:gridCol w:w="796"/>
        <w:gridCol w:w="271"/>
        <w:gridCol w:w="109"/>
        <w:gridCol w:w="109"/>
        <w:gridCol w:w="109"/>
        <w:gridCol w:w="211"/>
        <w:gridCol w:w="796"/>
        <w:gridCol w:w="109"/>
        <w:gridCol w:w="109"/>
        <w:gridCol w:w="109"/>
        <w:gridCol w:w="109"/>
        <w:gridCol w:w="211"/>
        <w:gridCol w:w="796"/>
        <w:gridCol w:w="271"/>
        <w:gridCol w:w="109"/>
        <w:gridCol w:w="109"/>
        <w:gridCol w:w="109"/>
        <w:gridCol w:w="211"/>
        <w:gridCol w:w="7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Basis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 (GAAP basis)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(11,101)</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applicable to noncontrolling interest</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44,825</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44,825</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EBITDAre</w:t>
            </w:r>
            <w:r>
              <w:rPr>
                <w:rFonts w:ascii="Times New Roman;serif" w:hAnsi="Times New Roman;serif"/>
                <w:b/>
                <w:color w:val="000000"/>
                <w:sz w:val="13"/>
              </w:rPr>
              <w:t>(1)</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80,089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80,089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Core EBITDA</w:t>
            </w:r>
            <w:r>
              <w:rPr>
                <w:rFonts w:ascii="Times New Roman;serif" w:hAnsi="Times New Roman;serif"/>
                <w:b/>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80,089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80,089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&amp; administrative expenses</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Management fee revenue </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Straight-line rent effects of lease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lease-related intangibles</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(1,660)</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NOI</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81,126</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88,137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84,714 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(income)/loss from:</w:t>
            </w:r>
          </w:p>
        </w:tc>
        <w:tc>
          <w:tcPr>
            <w:tcW w:w="127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Dispositions </w:t>
            </w:r>
            <w:r>
              <w:rPr>
                <w:rFonts w:ascii="Times New Roman;serif" w:hAnsi="Times New Roman;serif"/>
                <w:b w:val="false"/>
                <w:color w:val="000000"/>
                <w:sz w:val="13"/>
              </w:rPr>
              <w:t>(4)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investments </w:t>
            </w:r>
            <w:r>
              <w:rPr>
                <w:rFonts w:ascii="Times New Roman;serif" w:hAnsi="Times New Roman;serif"/>
                <w:b w:val="false"/>
                <w:color w:val="000000"/>
                <w:sz w:val="13"/>
              </w:rPr>
              <w:t>(5)</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(1,117)</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(1,726)</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 NOI</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80,009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86,411</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 period over period in Same Store NOI</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9.0</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2.8</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N/A</w:t>
            </w:r>
          </w:p>
        </w:tc>
      </w:tr>
    </w:tbl>
    <w:p>
      <w:pPr>
        <w:pStyle w:val="TextBody"/>
        <w:bidi w:val="0"/>
        <w:spacing w:before="60" w:after="60"/>
        <w:jc w:val="both"/>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We calculate Earnings Before Interest, Taxes, Depreciation, and Amortization-Real Estate ("EBITDAre") in accordance with the current NAREIT definition. NAREIT currently defines EBITDAre as net income/(loss) (computed in accordance with GAAP) adjusted for gains or losses from sales of property, impairment charges, depreciation on real estate assets, amortization on real estate assets, interest expense and taxes, along with the same adjustments for joint ventures. Some of the adjustments mentioned can vary among owners of identical assets in similar conditions based on historical cost accounting and useful-life estimates. EBITDAre is a non-GAAP financial measure and should not be viewed as an alternative to net income calculated in accordance with GAAP as a measurement of our operating performance. We believe that EBITDAre is helpful to investors as a supplemental performance measure because it provides a metric for understanding our results from ongoing operations without taking into account the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of non-cash expenses (such as depreciation and amortization) and capitalization and capital structure expenses (such as interest expense and taxes). We also believe that EBITDAre can help facilitate comparisons of operating performance between periods and with other REITs. However, other REITs may not define EBITDAre in accordance with the NAREIT definition, or may interpret the current NAREIT definition differently than us; therefore, our computation of EBITDAre may not be comparable to that of such other REITs.</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We calculate Core Earnings Before Interest, Taxes, Depreciation, and Amortization ("Core EBITDA") as net income/(loss) (computed in accordance with GAAP) before interest, taxes, depreciation and amortization and incrementally removing any impairment charges, gains or losses from sales of property, loss on early extinguishment of debt, and other significant infrequent items that create volatility within our earnings and make it difficult to determine the earnings generated by our core ongoing business. Core EBITDA is a non-GAAP financial measure and should not be viewed as an alternative to net income calculated in accordance with GAAP as a measurement of our operating performance. We believe that Core EBITDA is helpful to investors as a supplemental performance measure because it provides a metric for understanding the performance of our results from ongoing operations without taking into account the effects of non-cash expenses (such as depreciation and amortization), as well as items that are not part of normal day-to-day operations of our business. Other REITs may not define Core EBITDA in the same manner as us; therefore, our computation of Core EBITDA may not be comparable to that of other REITs.</w:t>
      </w:r>
    </w:p>
    <w:p>
      <w:pPr>
        <w:pStyle w:val="TextBody"/>
        <w:bidi w:val="0"/>
        <w:spacing w:lineRule="auto" w:line="288" w:before="60" w:after="60"/>
        <w:ind w:left="0" w:right="0" w:hanging="720"/>
        <w:jc w:val="both"/>
        <w:rPr/>
      </w:pPr>
      <w:r>
        <w:rPr>
          <w:rFonts w:ascii="Times New Roman;serif" w:hAnsi="Times New Roman;serif"/>
          <w:b w:val="false"/>
          <w:color w:val="000000"/>
          <w:sz w:val="12"/>
        </w:rPr>
        <w:t>(3)</w:t>
      </w:r>
      <w:r>
        <w:rPr>
          <w:rFonts w:ascii="Times New Roman;serif" w:hAnsi="Times New Roman;serif"/>
          <w:b w:val="false"/>
          <w:color w:val="000000"/>
          <w:sz w:val="18"/>
        </w:rPr>
        <w:t>Presented net of related operating expenses incurred to earn such management fee revenue.</w:t>
      </w:r>
    </w:p>
    <w:p>
      <w:pPr>
        <w:pStyle w:val="TextBody"/>
        <w:bidi w:val="0"/>
        <w:spacing w:lineRule="auto" w:line="288" w:before="0" w:after="60"/>
        <w:ind w:left="0" w:right="0" w:hanging="720"/>
        <w:jc w:val="both"/>
        <w:rPr/>
      </w:pPr>
      <w:r>
        <w:rPr>
          <w:rFonts w:ascii="Times New Roman;serif" w:hAnsi="Times New Roman;serif"/>
          <w:b w:val="false"/>
          <w:color w:val="000000"/>
          <w:sz w:val="12"/>
        </w:rPr>
        <w:t>(4)</w:t>
      </w:r>
      <w:r>
        <w:rPr>
          <w:rFonts w:ascii="Times New Roman;serif" w:hAnsi="Times New Roman;serif"/>
          <w:b w:val="false"/>
          <w:color w:val="000000"/>
          <w:sz w:val="18"/>
        </w:rPr>
        <w:t>Dispositions include 80 and 90 Central, sold in the second quarter of 2025, and 161 Corporate Center, sold in the first quarter of 2025.</w:t>
      </w:r>
    </w:p>
    <w:p>
      <w:pPr>
        <w:pStyle w:val="TextBody"/>
        <w:bidi w:val="0"/>
        <w:spacing w:lineRule="auto" w:line="288" w:before="60" w:after="60"/>
        <w:ind w:left="0" w:right="0" w:hanging="720"/>
        <w:jc w:val="both"/>
        <w:rPr/>
      </w:pPr>
      <w:r>
        <w:rPr>
          <w:rFonts w:ascii="Times New Roman;serif" w:hAnsi="Times New Roman;serif"/>
          <w:b w:val="false"/>
          <w:color w:val="000000"/>
          <w:sz w:val="12"/>
        </w:rPr>
        <w:t>(5)</w:t>
      </w:r>
      <w:r>
        <w:rPr>
          <w:rFonts w:ascii="Times New Roman;serif" w:hAnsi="Times New Roman;serif"/>
          <w:b w:val="false"/>
          <w:color w:val="000000"/>
          <w:sz w:val="18"/>
        </w:rPr>
        <w:t>Other investments include active or recently completed out of service redevelopment projects and land. The operating results from a portion of The Exchange in Orlando, Florida, as well as Meridian and 9320 Excelsior Boulevard in suburban Minneapolis, Minnesota are included in this line item.</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calculated in accordance with GAAP to EBITDAre, Core EBITDA, Property NOI, and Same Store NOI, on both a cash and accrual basis, for the six months ended June 30, 2026 and 2025 (in thousands):</w:t>
      </w:r>
    </w:p>
    <w:p>
      <w:pPr>
        <w:pStyle w:val="TextBody"/>
        <w:bidi w:val="0"/>
        <w:spacing w:before="0" w:after="0"/>
        <w:jc w:val="both"/>
        <w:rPr/>
      </w:pPr>
      <w:r>
        <w:rPr/>
      </w:r>
    </w:p>
    <w:tbl>
      <w:tblPr>
        <w:tblW w:w="10044" w:type="dxa"/>
        <w:jc w:val="center"/>
        <w:tblInd w:w="0" w:type="dxa"/>
        <w:tblLayout w:type="fixed"/>
        <w:tblCellMar>
          <w:top w:w="28" w:type="dxa"/>
          <w:left w:w="28" w:type="dxa"/>
          <w:bottom w:w="28" w:type="dxa"/>
          <w:right w:w="28" w:type="dxa"/>
        </w:tblCellMar>
      </w:tblPr>
      <w:tblGrid>
        <w:gridCol w:w="1476"/>
        <w:gridCol w:w="1298"/>
        <w:gridCol w:w="1306"/>
        <w:gridCol w:w="211"/>
        <w:gridCol w:w="841"/>
        <w:gridCol w:w="271"/>
        <w:gridCol w:w="109"/>
        <w:gridCol w:w="109"/>
        <w:gridCol w:w="109"/>
        <w:gridCol w:w="211"/>
        <w:gridCol w:w="826"/>
        <w:gridCol w:w="109"/>
        <w:gridCol w:w="109"/>
        <w:gridCol w:w="109"/>
        <w:gridCol w:w="109"/>
        <w:gridCol w:w="211"/>
        <w:gridCol w:w="841"/>
        <w:gridCol w:w="271"/>
        <w:gridCol w:w="109"/>
        <w:gridCol w:w="109"/>
        <w:gridCol w:w="109"/>
        <w:gridCol w:w="211"/>
        <w:gridCol w:w="82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Basis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 (GAAP basis)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(24,021)</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applicable to noncontrolling interest</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63,803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63,803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88,852</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88,852</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real estate assets </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EBITDAre</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158,393</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158,393</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EBITDA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158,393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158,393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&amp; administrative expenses </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16,146</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16,146</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Management fee revenue </w:t>
            </w:r>
            <w:r>
              <w:rPr>
                <w:rFonts w:ascii="Times New Roman;serif" w:hAnsi="Times New Roman;serif"/>
                <w:b w:val="false"/>
                <w:color w:val="000000"/>
                <w:sz w:val="13"/>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Straight-line effects of lease revenue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lease-related intangibles </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(3,600)</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NOI</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160,741</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174,074</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income from:</w:t>
            </w:r>
          </w:p>
        </w:tc>
        <w:tc>
          <w:tcPr>
            <w:tcW w:w="132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(790)</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(2,382)</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 NOI</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159,996</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171,737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167,832 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 period over period in Same Store NOI</w:t>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10.0</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2.3</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N/A</w:t>
            </w:r>
          </w:p>
        </w:tc>
      </w:tr>
    </w:tbl>
    <w:p>
      <w:pPr>
        <w:pStyle w:val="TextBody"/>
        <w:bidi w:val="0"/>
        <w:spacing w:before="60" w:after="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portfolio consists of office projects located within identified growth submarkets of large metropolitan cities concentrated primarily in the Sunbelt. We typically lease space to creditworthy corporate or governmental tenants on a long-term basis. As of June 30, 2026, our average lease was approximately 13,000 square feet with six years of lease term remaining. Leased percentage, as well as rent roll-ups and roll downs which we experience as a result of re-leasing, can fluctuate widely between buildings and between tenants, depending on when a particular lease is scheduled to commence or expire.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Leased Percentage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in-service portfolio was 88.9% leased as of June 30, 2026, as compared to 89.6% leased as of December 31, 2025. Scheduled lease expirations for the remainder of 2026 represent approximately 8% of our ALR. To the extent that square footage from new leases for currently vacant space in our in-service portfolio exceeds or falls short of the square footage associated with non-renewing expirations, such leases would increase or decrease our in-service leased percentage, respectively. As of June 30, 2026, two projects, 9320 Excelsior Boulevard and Meridian, both in suburban Minneapolis, Minnesota, were classified as out of service as they have recently undergone redevelopment to convert from single tenant occupancy to multi-tenant occupancy. Collectively, these out of service projects were approximately 83% leased as of June 30, 2026, with the majority of those leases anticipated to commence by the end of 2026 or early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Impact of Downtime, Abatement Periods, and Rental Rate Changes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Commencement of a lease associated with a new tenant typically occurs 6-18 months after the lease execution date, after refurbishment of the space is completed. The downtime between a lease expiration and the new lease's commencement can negatively impact Property NOI and Same Store NOI comparisons (both accrual and cash basis). In addition, office leases for both new and renewing tenants often contain upfront rental and/or operating expense abatement periods which may delay the cash flow benefits of the lease even after the new or renewed lease has commenced, negatively impacting Property NOI and Same Store NOI on a cash basis until such abatements expire. As of June 30, 2026, we had approximately 0.9 million square feet of executed leases for vacant space that are yet to commence representing approximately $39 million of future additional annual cash rents, and approximately 1.0 million square feet of executed leases currently under rental abatement, representing approximately $28 million of future additional annual cash rents.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replace expiring leases with new or renewal leases at rental rates equal to or greater than the expiring rates, rental rate roll-downs could occur and negatively impact Property NOI and Same Store NOI comparisons. As discussed above, our diverse portfolio and the magnitude of some of our tenants' leased spaces can result in rent roll-ups and roll-downs that can fluctuate widely on a project-by-project and a quarter-to-quarter basis. During the three months ended June 30, 2026, we experienced a 14.1% and 32.4% roll-up on a cash and accrual basis respectively, on executed leases related to space vacant one year or less.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Same Store NOI increased by 9.0% and 2.8% on a cash and accrual basis, respectively, as rental rates increased and the commencement or burn off of abatements on new leases outweighed expiring leases. Same Store NOI comparisons for any given period fluctuate as a result of the mix of net leasing activity in individual properties during the respective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Election as a REIT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to be taxed as a REIT under the Code and have operated as such beginning with our taxable year ended December 31, 1998. To qualify as a REIT, we must meet certain organizational and operational requirements, including a requirement to distribute at least 90% of our adjusted REIT taxable income, computed without regard to the dividends-paid deduction and by excluding net capital gains attributable to our stockholders, as defined by the Code. As a REIT, we generally will not be subject to federal income tax on income that we distribute to our stockholders. If we fail to qualify as a REIT in any taxable year, we may be subject to federal income taxes on our taxable income for that year and for the four years following the year during which qualification is lost and/or penalties, unless the IRS grants us relief under certain statutory provisions. Such an event could materially adversely affect our net loss and net cash available for distribution to our stockholders. However, we believe that we are organized and operate in such a manner as to qualify for treatment as a REIT and intend to continue to operate in the foreseeable future in such a manner that we will remain qualified as a REIT for federal income tax purposes. We have elected to treat one of our wholly owned subsidiaries as a taxable REIT subsidiary ("TRS"). Our TRS performs non-customary services for tenants of buildings that we own, including real estate and non-real estate related services. Any earnings related to such services performed by our TRS are subject to federal and state income taxes. In addition, for us to continue to qualify as a REIT, our investments in TRS cannot exceed 20% of the value of our total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inflation risk, as income from long-term leases is the primary source of our cash flows from operations. There are provisions in the majority of our tenant leases that are intended to protect us from, and mitigate the risk of, the impact of inflation. These provisions include rent steps, reimbursement billings for operating expense pass-through charges, real estate tax, and insurance on a per square-foot basis, or in some cases, annual reimbursement of operating expenses above certain per square-foot allowances. However, due to the long-term nature of the leases, the leases may not readjust their reimbursement rates frequently enough to fully cover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Application of 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accounting policies have been established to conform with GAAP. The preparation of financial statements in conformity with GAAP requires management to use judgment in the application of accounting policies, including making estimates and assumptions. These judgments affect the reported amounts of assets and liabilities and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thus, resulting in a different presentation of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Additionally, other companies may utilize different estimates that may impact comparability of our results of operations to those of companies in similar businesses. Refer to our Annual Report on Form 10-K for the year ended December 31, 2025 for a discussion of our critical accounting policies and estimates. There have been no material changes to these policies during the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subject to certain commitments and contingencies with regard to certain transactions. Refer to </w:t>
      </w:r>
      <w:hyperlink w:anchor="ia14037a9e9c3497ea345c062eac82108_67">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 xml:space="preserve">to our consolidated financial statements for further explanation.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hanging="10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income, cash flows, and estimated fair values of our financial instruments depend in part upon prevailing market interest rates. Market risk is the exposure to loss resulting from changes in interest rates, foreign currency, exchange rates, commodity prices, and equity prices. As of June 30, 2026, our primary market risk is our exposure to interest rate fluctuations in connection with any future borrowings under our $600 Million Unsecured 2022 Line of Credit and $200 million of our $400 Million Unsecured 2026 Term Loan. Many factors, including governmental monetary and tax policies, domestic and international economic and political considerations, and other factors that are beyond our control contribute to interest rate risk, including changes in the method pursuant to which SOFR rates are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interest rate risk management objectives are to limit the impact of interest rate changes on earnings and cash flow primarily through a low-to-moderate level of overall borrowings, as well as managing the portion of our outstanding debt that is subject to interest rate fluctuations. As such, all of our debt as of June 30, 2026, other than our line of credit facility and a portion of the term loan mentioned above, is currently based on fixed, or effectively fixed, interest rates to hedge against volatility in the credit markets. We may periodically enter into additional interest rate hedging arrangements to manage our interest rate exposure associated with variable-rate borrowings. The timing and amount of any future hedging activity will depend on several factors, including market conditions, our view of interest rate risk, and our overall financing strategy. We do not enter into derivative or interest rate transactions for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debt was approximately $2.3 billion and $2.3 billion as of June 30, 2026 and December 31, 2025, respectively. Our interest rate swap agreements in place as of June 30, 2026 and December 31, 2025 carried a notional amount totaling $200 million and $325 million, respectively, with a weighted-average fixed interest rate of 4.94% and 5.38%,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our total outstanding debt subject to fixed, or effectively fixed, interest rates totaled approximately $2.1 billion and had an average effective interest rate of approximately 5.57% per annum with contractual expirations, not including extension options, ranging from 2028 to 2033. A change in the market interest rate would impact the relative fair value of our fixed-rate debt portfolio but has no impact on interest incurred or cash flows for that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no amount was outstanding under our $600 Million Unsecured 2022 Line of Credit which has a stated variable rate of SOFR plus 1.05% per annum (based on our current credit rating as defined in the credit agreement). Additionally, the unhedged portion of our $400 Million Unsecured 2026 Term Loan currently has a stated variable rate of SOFR plus 1.15% per annum (based on our current credit rating as defined in the term loan agreement). These two facilities currently comprise our exposure to increases in interest rates, which would potentially increase our cost of debt. A 1.0% increase in variable interest rates on our existing outstanding borrowings as of June 30, 2026 would increase interest expense approximately $2.0 million on a per annum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Management’s Conclusions Regarding the Effectiveness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carried out an evaluation, under the supervision and with the participation of management, including the Principal Executive Officer and the Principal Financial Officer, of the effectiveness of the design and operation of our disclosure controls and procedures as defined in Rules 13a-15(e) and 15d-15(e) of the Securities Exchange Act of 1934 (the “Exchange Act”) as of the end of the quarterly period covered by this report. Based upon that evaluation, the Principal Executive Officer and the Principal Financial Officer concluded that our disclosure controls and procedures were effective as of the end of the period covered by this quarterly report in providing a reasonable level of assurance that information we are required to disclose in the reports we file or submit under the Exchange Act is recorded, processed, summarized, and reported within the time periods specified in applicable SEC rules and forms, including providing a reasonable level of assurance that information required to be disclosed by us in the reports we file under the Exchange Act is accumulated and communicated to our management, including the Principal Executive Officer and the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subject to any material pending legal proceedings. However, we are subject to routine litigation arising in the ordinary course of owning and operating real estate assets. Our management expects that these ordinary routine legal proceedings will be covered by insurance and does not expect these legal proceedings to have a material adverse effect on our financial condition, results of operations, or liquidity. Additionally, management is not aware of any legal proceedings against Piedmont contemplated by governmental authorities.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known material changes from the risk factors previously disclosed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(a)There were no unregistered sales of equity securities during the second quarter of 2026.</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180"/>
        <w:ind w:left="0" w:right="0" w:hanging="720"/>
        <w:jc w:val="both"/>
        <w:rPr/>
      </w:pPr>
      <w:r>
        <w:rPr>
          <w:rFonts w:ascii="Times New Roman;serif" w:hAnsi="Times New Roman;serif"/>
          <w:b w:val="false"/>
          <w:color w:val="000000"/>
          <w:sz w:val="18"/>
        </w:rPr>
        <w:t>(c)</w:t>
      </w: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our directors or officers adopted or terminated a “Rule 10b5-1 trading arrangement” or a “non-Rule 10b5-1 trading arrangement” as those terms are defined in Regulation S-K, Item 408.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3"/>
        <w:gridCol w:w="250"/>
        <w:gridCol w:w="229"/>
        <w:gridCol w:w="109"/>
        <w:gridCol w:w="109"/>
        <w:gridCol w:w="109"/>
        <w:gridCol w:w="3243"/>
        <w:gridCol w:w="2581"/>
        <w:gridCol w:w="2589"/>
        <w:gridCol w:w="109"/>
        <w:gridCol w:w="109"/>
        <w:gridCol w:w="109"/>
        <w:gridCol w:w="109"/>
        <w:gridCol w:w="109"/>
        <w:gridCol w:w="158"/>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righ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Articles of Amendment and Restatement of Piedmont (incorporated by reference to Exhibit 3.1 to Piedmont’s Annual Report on Form 10-K for the fiscal year ended December 31, 2009, filed on March 16, 2010).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Amendment to the Third Articles of Amendment and Restatement of Piedmont (incorporated by reference to Exhibit 3.2 to Piedmont's Current Report on Form 8-K filed on July 6,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Articles Supplementary to the Third Articles of Amendment and Restatement of Piedmont, as amended (incorporated by reference to Exhibit 3.1 to Piedmont's Current Report on Form 8-K filed on July 6,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Supplementary to the Third Articles of Amendment and Restatement of Piedmont, as supplemented and amended (incorporated by reference to Exhibit 3.1 to Piedmont's Current Report on Form 8-K, filed on November 14,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Articles of Amendment to the Third Articles of Amendment and Restatement of Piedmont, as supplemented and amended (incorporated by reference to Exhibit 3.1 to Piedmont's Current Report on Form 8-K, filed on May 23,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to the Third Articles of Amendment and Restatement of Piedmont, as supplemented and amended (incorporated by reference to Exhibit 3.1 to Piedmont's Current Report on Form 8-K filed on June 9,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Second Amended and Restated Bylaws of Piedmont (incorporated by reference to Exhibit 3.2 to Piedmont’s Current Report on Form 8-K filed on June 9,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Third Amended and Restated Omnibus Incentive Plan (incorporated by reference to Appendix A of Piedmont’s Proxy Statement filed on March 18,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No. 4 to Term Loan Agreement, dated as of May 28, 2026, by and among Piedmont Operating Partnership, LP, Piedmont Realty Trust, Inc., Truist Securities, Inc., JPMorgan Chase Bank, N.A., TD Securities (USA) LLC, BofA Securities, Inc., and Wells Fargo Securities, LLC, as Joint Lead Arrangers and Joint Bookrunners, Morgan Stanley Senior Funding, Inc. and U.S. Bank National Association, as Joint Lead Arrangers, Truist Bank, as Administrative Agent, JPMorgan Chase Bank, N.A., TD Securities (USA) LLC, Bank of America, N.A., and Wells Fargo Bank, N.A., as Co-Syndication Agents, and Morgan Stanley Senior Funding, Inc. and U.S. Bank National Association, as Co-Documentation Agents and each lender signatory thereto (incorporated by reference to Exhibit 10.1 to Piedmont's Current Report on Form 8-K filed on May 28,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Subsidiary Issuer of Guaranteed Securities (incorporated by reference to Exhibit 22.1 to Piedmont's Annual Report on Form 10-K for the fiscal year ended December 31, 2025, filed on February 17,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63026ex311peocert.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63026ex312pfocert.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63026ex321ceocert.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63026ex322cfocert.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14037a9e9c3497ea345c062eac8210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394"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503"/>
        <w:gridCol w:w="503"/>
        <w:gridCol w:w="503"/>
        <w:gridCol w:w="1458"/>
        <w:gridCol w:w="1458"/>
        <w:gridCol w:w="209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PIEDMONT REALTY TRUST,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Executive Vice President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C. Brent Smith,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for the quarter ended June 30, 2026 of Piedmont Realty Trust, Inc.;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July 28, 2026 </w:t>
      </w:r>
    </w:p>
    <w:p>
      <w:pPr>
        <w:pStyle w:val="TextBody"/>
        <w:bidi w:val="0"/>
        <w:spacing w:lineRule="auto" w:line="288" w:before="0" w:after="0"/>
        <w:jc w:val="left"/>
        <w:rPr>
          <w:color w:val="000000"/>
        </w:rPr>
      </w:pPr>
      <w:r>
        <w:rPr>
          <w:color w:val="000000"/>
        </w:rPr>
        <w:t> </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 Brent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 Brent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Sherry L. Rexroad,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for the quarter ended June 30, 2026 of Piedmont Realty Trust, Inc.;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July 28, 2026 </w:t>
      </w:r>
    </w:p>
    <w:p>
      <w:pPr>
        <w:pStyle w:val="TextBody"/>
        <w:bidi w:val="0"/>
        <w:spacing w:lineRule="auto" w:line="288" w:before="0" w:after="0"/>
        <w:jc w:val="left"/>
        <w:rPr>
          <w:color w:val="000000"/>
        </w:rPr>
      </w:pPr>
      <w:r>
        <w:rPr>
          <w:color w:val="000000"/>
        </w:rPr>
        <w:t> </w:t>
      </w:r>
    </w:p>
    <w:tbl>
      <w:tblPr>
        <w:tblW w:w="319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Sherry L. Rexroad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Report of Piedmont Realty Trust, Inc. (the “Registrant”) on Form 10-Q for the quarter ended June 30, 2026, as filed with the Securities and Exchange Commission (the “Report”), the undersigned, C. Brent Smith, Chief Executive Officer of the Registrant, hereby certifies, pursuant to 18 U.S.C. §1350, as adopted pursuant to §906 of the Sarbanes-Oxley Act of 2002, that, to the best of my knowledge and belief:</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180" w:after="283"/>
        <w:jc w:val="both"/>
        <w:rPr/>
      </w:pPr>
      <w:r>
        <w:rPr/>
      </w:r>
    </w:p>
    <w:tbl>
      <w:tblPr>
        <w:tblW w:w="2876" w:type="dxa"/>
        <w:jc w:val="left"/>
        <w:tblInd w:w="0" w:type="dxa"/>
        <w:tblLayout w:type="fixed"/>
        <w:tblCellMar>
          <w:top w:w="28" w:type="dxa"/>
          <w:left w:w="28" w:type="dxa"/>
          <w:bottom w:w="28" w:type="dxa"/>
          <w:right w:w="28" w:type="dxa"/>
        </w:tblCellMar>
      </w:tblPr>
      <w:tblGrid>
        <w:gridCol w:w="151"/>
        <w:gridCol w:w="134"/>
        <w:gridCol w:w="135"/>
        <w:gridCol w:w="693"/>
        <w:gridCol w:w="693"/>
        <w:gridCol w:w="698"/>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 Brent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 Brent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Report of Piedmont Realty Trust, Inc. (the “Registrant”) on Form 10-Q for the quarter ended June 30, 2026, as filed with the Securities and Exchange Commission (the “Report”), the undersigned, Sherry L. Rexroad, Chief Financial Officer of the Registrant, hereby certifies, pursuant to 18 U.S.C. §1350, as adopted pursuant to §906 of the Sarbanes-Oxley Act of 2002, that, to the best of my knowledge and belief:</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180" w:after="283"/>
        <w:jc w:val="both"/>
        <w:rPr/>
      </w:pPr>
      <w:r>
        <w:rPr/>
      </w:r>
    </w:p>
    <w:tbl>
      <w:tblPr>
        <w:tblW w:w="2846" w:type="dxa"/>
        <w:jc w:val="left"/>
        <w:tblInd w:w="0" w:type="dxa"/>
        <w:tblLayout w:type="fixed"/>
        <w:tblCellMar>
          <w:top w:w="28" w:type="dxa"/>
          <w:left w:w="28" w:type="dxa"/>
          <w:bottom w:w="28" w:type="dxa"/>
          <w:right w:w="28" w:type="dxa"/>
        </w:tblCellMar>
      </w:tblPr>
      <w:tblGrid>
        <w:gridCol w:w="151"/>
        <w:gridCol w:w="134"/>
        <w:gridCol w:w="135"/>
        <w:gridCol w:w="684"/>
        <w:gridCol w:w="684"/>
        <w:gridCol w:w="68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Sherry L. Rexroad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2776/000119312510058371/dex31.htm" TargetMode="External"/><Relationship Id="rId3" Type="http://schemas.openxmlformats.org/officeDocument/2006/relationships/hyperlink" Target="https://www.sec.gov/Archives/edgar/data/1042776/000104277611000057/ex32articlesofamendmentofp.htm" TargetMode="External"/><Relationship Id="rId4" Type="http://schemas.openxmlformats.org/officeDocument/2006/relationships/hyperlink" Target="https://www.sec.gov/Archives/edgar/data/1042776/000104277611000057/ex31articlessupplementaryo.htm" TargetMode="External"/><Relationship Id="rId5" Type="http://schemas.openxmlformats.org/officeDocument/2006/relationships/hyperlink" Target="https://www.sec.gov/Archives/edgar/data/1042776/000104277616000359/ex31articlessupplementaryt.htm" TargetMode="External"/><Relationship Id="rId6" Type="http://schemas.openxmlformats.org/officeDocument/2006/relationships/hyperlink" Target="https://www.sec.gov/Archives/edgar/data/1042776/000119312518171309/d759625dex31.htm" TargetMode="External"/><Relationship Id="rId7" Type="http://schemas.openxmlformats.org/officeDocument/2006/relationships/hyperlink" Target="https://www.sec.gov/Archives/edgar/data/1042776/000119312525137827/d93588dex31.htm" TargetMode="External"/><Relationship Id="rId8" Type="http://schemas.openxmlformats.org/officeDocument/2006/relationships/hyperlink" Target="https://www.sec.gov/Archives/edgar/data/1042776/000119312525137827/d93588dex32.htm" TargetMode="External"/><Relationship Id="rId9" Type="http://schemas.openxmlformats.org/officeDocument/2006/relationships/hyperlink" Target="https://www.sec.gov/ix?doc=/Archives/edgar/data/0001042776/000104277626000042/pdm-20260331.htm" TargetMode="External"/><Relationship Id="rId10" Type="http://schemas.openxmlformats.org/officeDocument/2006/relationships/hyperlink" Target="https://www.sec.gov/Archives/edgar/data/1042776/000119312526245564/d59501dex101.htm" TargetMode="External"/><Relationship Id="rId11" Type="http://schemas.openxmlformats.org/officeDocument/2006/relationships/hyperlink" Target="https://www.sec.gov/Archives/edgar/data/1042776/000104277626000012/ex22112312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18740</Words>
  <Characters>103767</Characters>
  <CharactersWithSpaces>121028</CharactersWithSpaces>
  <Paragraphs>2881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