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jc w:val="center"/>
        <w:rPr/>
      </w:pPr>
      <w:r>
        <w:rPr>
          <w:rFonts w:ascii="Times New Roman;serif" w:hAnsi="Times New Roman;serif"/>
          <w:b/>
          <w:color w:val="000000"/>
          <w:sz w:val="26"/>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6"/>
        </w:rPr>
        <w:t>CURRENT REPORT</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6"/>
        </w:rPr>
        <w:t>Pursuant to Section 13 or 15(d) of the Securities Exchange Act of 1934</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12, 2026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36"/>
        </w:rPr>
        <w:t>Piedmont Realty Trust, Inc.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Commission File Number:  001-34626</w:t>
      </w:r>
      <w:r>
        <w:rPr>
          <w:color w:val="000000"/>
        </w:rPr>
        <w:t xml:space="preserve"> </w:t>
      </w:r>
    </w:p>
    <w:p>
      <w:pPr>
        <w:pStyle w:val="TextBody"/>
        <w:bidi w:val="0"/>
        <w:spacing w:lineRule="auto" w:line="288" w:before="0" w:after="0"/>
        <w:jc w:val="left"/>
        <w:rPr>
          <w:color w:val="000000"/>
        </w:rPr>
      </w:pPr>
      <w:r>
        <w:rPr>
          <w:color w:val="000000"/>
        </w:rPr>
        <w:t xml:space="preserve">  </w:t>
      </w:r>
    </w:p>
    <w:tbl>
      <w:tblPr>
        <w:tblW w:w="4571" w:type="dxa"/>
        <w:jc w:val="left"/>
        <w:tblInd w:w="0" w:type="dxa"/>
        <w:tblLayout w:type="fixed"/>
        <w:tblCellMar>
          <w:top w:w="28" w:type="dxa"/>
          <w:left w:w="28" w:type="dxa"/>
          <w:bottom w:w="28" w:type="dxa"/>
          <w:right w:w="28" w:type="dxa"/>
        </w:tblCellMar>
      </w:tblPr>
      <w:tblGrid>
        <w:gridCol w:w="927"/>
        <w:gridCol w:w="817"/>
        <w:gridCol w:w="821"/>
        <w:gridCol w:w="109"/>
        <w:gridCol w:w="109"/>
        <w:gridCol w:w="109"/>
        <w:gridCol w:w="490"/>
        <w:gridCol w:w="490"/>
        <w:gridCol w:w="699"/>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58-2328421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5565 Glenridge Connector Ste. 450</w:t>
      </w:r>
    </w:p>
    <w:p>
      <w:pPr>
        <w:pStyle w:val="TextBody"/>
        <w:bidi w:val="0"/>
        <w:spacing w:lineRule="auto" w:line="288" w:before="0" w:after="0"/>
        <w:jc w:val="center"/>
        <w:rPr/>
      </w:pPr>
      <w:r>
        <w:rPr>
          <w:rFonts w:ascii="Times New Roman;serif" w:hAnsi="Times New Roman;serif"/>
          <w:b/>
          <w:color w:val="000000"/>
          <w:sz w:val="24"/>
        </w:rPr>
        <w:t>Atlanta, Georgia 30342</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(Address of principal executive offices, including zip code)</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(770) 418-8800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87"/>
        <w:gridCol w:w="865"/>
        <w:gridCol w:w="877"/>
        <w:gridCol w:w="109"/>
        <w:gridCol w:w="109"/>
        <w:gridCol w:w="109"/>
        <w:gridCol w:w="424"/>
        <w:gridCol w:w="424"/>
        <w:gridCol w:w="426"/>
        <w:gridCol w:w="109"/>
        <w:gridCol w:w="109"/>
        <w:gridCol w:w="109"/>
        <w:gridCol w:w="970"/>
        <w:gridCol w:w="970"/>
        <w:gridCol w:w="1374"/>
      </w:tblGrid>
      <w:tr>
        <w:trPr/>
        <w:tc>
          <w:tcPr>
            <w:tcW w:w="98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serif" w:hAnsi="Times New Roman;serif"/>
          <w:b w:val="false"/>
          <w:color w:val="000000"/>
          <w:sz w:val="1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Third Amended and Restated Omnibus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12, 2026, the stockholders of Piedmont Realty Trust, Inc. (the "Registrant") approved the Piedmont Realty Trust, Inc. Third Amended and Restated Omnibus Incentive Plan (the “A&amp;R Incentive Plan"). The A&amp;R Incentive Plan was authorized and approved by the Registrant’s Board of Directors (the “Board”) on March 9, 2026, subject to approval by the Registrant’s stockholders at the Registrant’s 2026 annual meeting of stockholders (the “2026 Annual Meeting”). The A&amp;R Incentive Plan amends the Registrant’s existing Second Amended and Restated 2007 Omnibus Incentive Plan (the “Prior Plan”) to, among other things, (i) increase the number of shares of common stock available for issuance by 5,000,000 shares from 13,666,667 to 18,666,667, and (ii) makes certain other amendments to the Prior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terms and conditions of the A&amp;R Incentive Plan is qualified in its entirety by reference to the terms and conditions of the A&amp;R Incentive Plan, a copy of which is filed as Exhibit 10.1 hereto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12, 2026, the Registrant held its 2026 Annual Meeting virtually. Proxies for the meeting were solicited pursuant to Regulation 14A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matters were submitted to a vote of the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stockholders elected the following individuals to its board of directors for one-year terms expiring in 2027:</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8"/>
        <w:gridCol w:w="402"/>
        <w:gridCol w:w="408"/>
        <w:gridCol w:w="109"/>
        <w:gridCol w:w="109"/>
        <w:gridCol w:w="109"/>
        <w:gridCol w:w="779"/>
        <w:gridCol w:w="581"/>
        <w:gridCol w:w="562"/>
        <w:gridCol w:w="109"/>
        <w:gridCol w:w="109"/>
        <w:gridCol w:w="109"/>
        <w:gridCol w:w="821"/>
        <w:gridCol w:w="625"/>
        <w:gridCol w:w="627"/>
        <w:gridCol w:w="109"/>
        <w:gridCol w:w="109"/>
        <w:gridCol w:w="109"/>
        <w:gridCol w:w="739"/>
        <w:gridCol w:w="584"/>
        <w:gridCol w:w="586"/>
        <w:gridCol w:w="109"/>
        <w:gridCol w:w="109"/>
        <w:gridCol w:w="109"/>
        <w:gridCol w:w="540"/>
        <w:gridCol w:w="541"/>
        <w:gridCol w:w="554"/>
      </w:tblGrid>
      <w:tr>
        <w:trPr/>
        <w:tc>
          <w:tcPr>
            <w:tcW w:w="54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358"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H. Barrett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93,769,314 </w:t>
            </w:r>
          </w:p>
        </w:tc>
        <w:tc>
          <w:tcPr>
            <w:tcW w:w="56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1,135,960 </w:t>
            </w:r>
          </w:p>
        </w:tc>
        <w:tc>
          <w:tcPr>
            <w:tcW w:w="627"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102,446 </w:t>
            </w:r>
          </w:p>
        </w:tc>
        <w:tc>
          <w:tcPr>
            <w:tcW w:w="58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G.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93,364,110 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1,538,810 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104,800 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J. Donnelly</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94,704,497 </w:t>
            </w:r>
          </w:p>
        </w:tc>
        <w:tc>
          <w:tcPr>
            <w:tcW w:w="5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197,357 </w:t>
            </w:r>
          </w:p>
        </w:tc>
        <w:tc>
          <w:tcPr>
            <w:tcW w:w="62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105,866 </w:t>
            </w:r>
          </w:p>
        </w:tc>
        <w:tc>
          <w:tcPr>
            <w:tcW w:w="5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Deneen L. Donnley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93,628,956 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294,363 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1,084,400 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 Hager</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93,170,997 </w:t>
            </w:r>
          </w:p>
        </w:tc>
        <w:tc>
          <w:tcPr>
            <w:tcW w:w="5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679,155 </w:t>
            </w:r>
          </w:p>
        </w:tc>
        <w:tc>
          <w:tcPr>
            <w:tcW w:w="62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1,157,568 </w:t>
            </w:r>
          </w:p>
        </w:tc>
        <w:tc>
          <w:tcPr>
            <w:tcW w:w="5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B. Lang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92,824,350 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2,059,706 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123,663 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E. Lewis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93,725,282 </w:t>
            </w:r>
          </w:p>
        </w:tc>
        <w:tc>
          <w:tcPr>
            <w:tcW w:w="5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1,179,703 </w:t>
            </w:r>
          </w:p>
        </w:tc>
        <w:tc>
          <w:tcPr>
            <w:tcW w:w="62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102,734 </w:t>
            </w:r>
          </w:p>
        </w:tc>
        <w:tc>
          <w:tcPr>
            <w:tcW w:w="5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 Brent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94,121,148 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784,498 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Dale H. Taysom</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94,073,611 </w:t>
            </w:r>
          </w:p>
        </w:tc>
        <w:tc>
          <w:tcPr>
            <w:tcW w:w="5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807,844 </w:t>
            </w:r>
          </w:p>
        </w:tc>
        <w:tc>
          <w:tcPr>
            <w:tcW w:w="62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126,265 </w:t>
            </w:r>
          </w:p>
        </w:tc>
        <w:tc>
          <w:tcPr>
            <w:tcW w:w="5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5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Registrant’s stockholders voted to ratify the appointment of Deloitte and Touche, LLP, as independent registered public accountants for the fiscal year ended December 31, 2026, as follows:</w:t>
      </w:r>
    </w:p>
    <w:p>
      <w:pPr>
        <w:pStyle w:val="TextBody"/>
        <w:bidi w:val="0"/>
        <w:spacing w:before="100" w:after="283"/>
        <w:jc w:val="both"/>
        <w:rPr/>
      </w:pPr>
      <w:r>
        <w:rPr/>
      </w:r>
    </w:p>
    <w:tbl>
      <w:tblPr>
        <w:tblW w:w="8078" w:type="dxa"/>
        <w:jc w:val="left"/>
        <w:tblInd w:w="0" w:type="dxa"/>
        <w:tblLayout w:type="fixed"/>
        <w:tblCellMar>
          <w:top w:w="28" w:type="dxa"/>
          <w:left w:w="28" w:type="dxa"/>
          <w:bottom w:w="28" w:type="dxa"/>
          <w:right w:w="28" w:type="dxa"/>
        </w:tblCellMar>
      </w:tblPr>
      <w:tblGrid>
        <w:gridCol w:w="851"/>
        <w:gridCol w:w="750"/>
        <w:gridCol w:w="753"/>
        <w:gridCol w:w="109"/>
        <w:gridCol w:w="109"/>
        <w:gridCol w:w="109"/>
        <w:gridCol w:w="889"/>
        <w:gridCol w:w="889"/>
        <w:gridCol w:w="892"/>
        <w:gridCol w:w="109"/>
        <w:gridCol w:w="109"/>
        <w:gridCol w:w="109"/>
        <w:gridCol w:w="703"/>
        <w:gridCol w:w="703"/>
        <w:gridCol w:w="99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Abstained</w:t>
            </w:r>
          </w:p>
        </w:tc>
      </w:tr>
      <w:tr>
        <w:trPr/>
        <w:tc>
          <w:tcPr>
            <w:tcW w:w="160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103,570,987 </w:t>
            </w:r>
          </w:p>
        </w:tc>
        <w:tc>
          <w:tcPr>
            <w:tcW w:w="753"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1,510,473 </w:t>
            </w:r>
          </w:p>
        </w:tc>
        <w:tc>
          <w:tcPr>
            <w:tcW w:w="89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62,710 </w:t>
            </w:r>
          </w:p>
        </w:tc>
        <w:tc>
          <w:tcPr>
            <w:tcW w:w="99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Registrant's stockholders voted to approve, on an advisory basis, the compensation of the named executive officers as disclosed in the proxy statement as follows:</w:t>
      </w:r>
    </w:p>
    <w:p>
      <w:pPr>
        <w:pStyle w:val="TextBody"/>
        <w:bidi w:val="0"/>
        <w:spacing w:before="0" w:after="0"/>
        <w:jc w:val="both"/>
        <w:rPr/>
      </w:pPr>
      <w:r>
        <w:rPr/>
      </w:r>
    </w:p>
    <w:tbl>
      <w:tblPr>
        <w:tblW w:w="10090" w:type="dxa"/>
        <w:jc w:val="left"/>
        <w:tblInd w:w="0" w:type="dxa"/>
        <w:tblLayout w:type="fixed"/>
        <w:tblCellMar>
          <w:top w:w="28" w:type="dxa"/>
          <w:left w:w="28" w:type="dxa"/>
          <w:bottom w:w="28" w:type="dxa"/>
          <w:right w:w="28" w:type="dxa"/>
        </w:tblCellMar>
      </w:tblPr>
      <w:tblGrid>
        <w:gridCol w:w="851"/>
        <w:gridCol w:w="750"/>
        <w:gridCol w:w="753"/>
        <w:gridCol w:w="109"/>
        <w:gridCol w:w="109"/>
        <w:gridCol w:w="109"/>
        <w:gridCol w:w="889"/>
        <w:gridCol w:w="889"/>
        <w:gridCol w:w="892"/>
        <w:gridCol w:w="109"/>
        <w:gridCol w:w="109"/>
        <w:gridCol w:w="109"/>
        <w:gridCol w:w="784"/>
        <w:gridCol w:w="784"/>
        <w:gridCol w:w="787"/>
        <w:gridCol w:w="109"/>
        <w:gridCol w:w="109"/>
        <w:gridCol w:w="109"/>
        <w:gridCol w:w="540"/>
        <w:gridCol w:w="541"/>
        <w:gridCol w:w="64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60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92,507,534 </w:t>
            </w:r>
          </w:p>
        </w:tc>
        <w:tc>
          <w:tcPr>
            <w:tcW w:w="753"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2,303,553 </w:t>
            </w:r>
          </w:p>
        </w:tc>
        <w:tc>
          <w:tcPr>
            <w:tcW w:w="89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196,632 </w:t>
            </w:r>
          </w:p>
        </w:tc>
        <w:tc>
          <w:tcPr>
            <w:tcW w:w="787"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64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the Registrant's stockholders voted to approve the Third Amended and Restated Omnibus Incentive Plan as disclosed in the proxy statement as follows:</w:t>
      </w:r>
    </w:p>
    <w:p>
      <w:pPr>
        <w:pStyle w:val="TextBody"/>
        <w:bidi w:val="0"/>
        <w:spacing w:before="0" w:after="0"/>
        <w:jc w:val="both"/>
        <w:rPr/>
      </w:pPr>
      <w:r>
        <w:rPr/>
      </w:r>
    </w:p>
    <w:tbl>
      <w:tblPr>
        <w:tblW w:w="10090" w:type="dxa"/>
        <w:jc w:val="left"/>
        <w:tblInd w:w="0" w:type="dxa"/>
        <w:tblLayout w:type="fixed"/>
        <w:tblCellMar>
          <w:top w:w="28" w:type="dxa"/>
          <w:left w:w="28" w:type="dxa"/>
          <w:bottom w:w="28" w:type="dxa"/>
          <w:right w:w="28" w:type="dxa"/>
        </w:tblCellMar>
      </w:tblPr>
      <w:tblGrid>
        <w:gridCol w:w="851"/>
        <w:gridCol w:w="750"/>
        <w:gridCol w:w="753"/>
        <w:gridCol w:w="109"/>
        <w:gridCol w:w="109"/>
        <w:gridCol w:w="109"/>
        <w:gridCol w:w="889"/>
        <w:gridCol w:w="889"/>
        <w:gridCol w:w="892"/>
        <w:gridCol w:w="109"/>
        <w:gridCol w:w="109"/>
        <w:gridCol w:w="109"/>
        <w:gridCol w:w="784"/>
        <w:gridCol w:w="784"/>
        <w:gridCol w:w="787"/>
        <w:gridCol w:w="109"/>
        <w:gridCol w:w="109"/>
        <w:gridCol w:w="109"/>
        <w:gridCol w:w="540"/>
        <w:gridCol w:w="541"/>
        <w:gridCol w:w="64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Voted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60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75,185,678 </w:t>
            </w:r>
          </w:p>
        </w:tc>
        <w:tc>
          <w:tcPr>
            <w:tcW w:w="753"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19,590,850 </w:t>
            </w:r>
          </w:p>
        </w:tc>
        <w:tc>
          <w:tcPr>
            <w:tcW w:w="89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231,192 </w:t>
            </w:r>
          </w:p>
        </w:tc>
        <w:tc>
          <w:tcPr>
            <w:tcW w:w="787"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10,136,450 </w:t>
            </w:r>
          </w:p>
        </w:tc>
        <w:tc>
          <w:tcPr>
            <w:tcW w:w="64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7"/>
        <w:gridCol w:w="270"/>
        <w:gridCol w:w="271"/>
        <w:gridCol w:w="109"/>
        <w:gridCol w:w="109"/>
        <w:gridCol w:w="109"/>
        <w:gridCol w:w="2637"/>
        <w:gridCol w:w="2637"/>
        <w:gridCol w:w="3756"/>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Piedmont Realty Trust, Inc. Third Amended and Restated Omnibus Incentive Plan (incorporated by reference to Appendix A of Piedmont's Proxy Statement filed with the Commission on March 18, 2026)</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before="0" w:after="0"/>
        <w:jc w:val="center"/>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Current Report on Form 8-K to be signed on its behalf by the undersigned hereunto duly authorized. </w:t>
      </w:r>
    </w:p>
    <w:p>
      <w:pPr>
        <w:pStyle w:val="TextBody"/>
        <w:bidi w:val="0"/>
        <w:spacing w:lineRule="auto" w:line="288" w:before="0" w:after="0"/>
        <w:jc w:val="left"/>
        <w:rPr>
          <w:color w:val="000000"/>
        </w:rPr>
      </w:pPr>
      <w:r>
        <w:rPr>
          <w:color w:val="000000"/>
        </w:rPr>
        <w:t xml:space="preserve">  </w:t>
      </w:r>
    </w:p>
    <w:tbl>
      <w:tblPr>
        <w:tblW w:w="7403"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09"/>
        <w:gridCol w:w="109"/>
        <w:gridCol w:w="109"/>
        <w:gridCol w:w="134"/>
        <w:gridCol w:w="134"/>
        <w:gridCol w:w="136"/>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Piedmont Realty Trust,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042776/000117494726000393/piedmont_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892</Words>
  <Characters>5075</Characters>
  <CharactersWithSpaces>5940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