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03684.xml.htm"/>
      <w:bookmarkStart w:id="1" w:name="kswkform4_17787036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COHEN GLENN GARY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5565 GLENRIDGE CONNECTOR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450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Piedmont Realty Trust, Inc.</w:t>
              </w:r>
            </w:hyperlink>
            <w:r>
              <w:rPr/>
              <w:t xml:space="preserve"> [ </w:t>
            </w:r>
            <w:r>
              <w:rPr>
                <w:rFonts w:ascii="Times;serif" w:hAnsi="Times;serif"/>
                <w:color w:val="0000FF"/>
                <w:sz w:val="24"/>
                <w:shd w:fill="FFFFFF" w:val="clear"/>
              </w:rPr>
              <w:t>PDM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15,217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82,083</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12,883</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PDM common stock. Restricted stock units may be settled in cash or common stock at PDM's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May 15, 2025, at the 2025 Annual Meeting of Stockholders of Piedmont Realty Trust, Inc., the reporting person was granted 15,217 restricted stock units, which vested at the 2026 Annual Meeting of Stockholders on May 12, 2026, and was settled in PDM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May 12, 2026, at the 2026 Annual Meeting of Stockholders of Piedmont Realty Trust, Inc., the reporting person was granted 12,883 restricted stock units, which will vest on the earlier of the 2027 Annual Meeting of Stockholders, or the anniversary of the grant date in May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 Wade Grace III as Attorney-in-Fact for Glenn G. Cohen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cohen.htm"/>
      <w:bookmarkStart w:id="3" w:name="kscohen"/>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0817" TargetMode="External"/><Relationship Id="rId5" Type="http://schemas.openxmlformats.org/officeDocument/2006/relationships/hyperlink" Target="http://www.sec.gov/cgi-bin/browse-edgar?action=getcompany&amp;CIK=00010427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723</Words>
  <Characters>3823</Characters>
  <CharactersWithSpaces>4469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cohen</dc:title>
</cp:coreProperties>
</file>