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593.xml.htm"/>
      <w:bookmarkStart w:id="1" w:name="kswkform4_17787035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Donnelly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3,348</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15, 2025, at the 2025 Annual Meeting of Stockholders of Piedmont Realty Trust, Inc., the reporting person was granted 15,217 restricted stock units, which vested at the 2026 Annual Meeting of Stockholders on May 12, 2026,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connection with the vesting of 15,217 shares of deferred stock on May 12, 2026, 3,348 shares were forfeited by the reporting person and delivered to the Company to satisfy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 Wade Grace III as Attorney-in-Fact for Jeffrey Donnelly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donnelley.htm"/>
      <w:bookmarkStart w:id="3" w:name="ksdonnell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115"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3970</Characters>
  <CharactersWithSpaces>4633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donnelley</dc:title>
</cp:coreProperties>
</file>