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3328.xml.htm"/>
      <w:bookmarkStart w:id="1" w:name="kswkform4_17909733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REXROAD SHERRY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5565 GLENRIDGE CONNECTOR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STE. 450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Piedmont Realty Trust, Inc.</w:t>
              </w:r>
            </w:hyperlink>
            <w:r>
              <w:rPr/>
              <w:t xml:space="preserve"> [ </w:t>
            </w:r>
            <w:r>
              <w:rPr>
                <w:rFonts w:ascii="Times;serif" w:hAnsi="Times;serif"/>
                <w:color w:val="0000FF"/>
                <w:sz w:val="24"/>
                <w:shd w:fill="FFFFFF" w:val="clear"/>
              </w:rPr>
              <w:t>PDM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58,303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4,446</w:t>
            </w:r>
            <w:r>
              <w:rPr>
                <w:rFonts w:ascii="Times;serif" w:hAnsi="Times;serif"/>
                <w:color w:val="008000"/>
                <w:position w:val="7"/>
                <w:sz w:val="16"/>
                <w:sz w:val="20"/>
                <w:shd w:fill="FFFFFF" w:val="clear"/>
              </w:rPr>
              <w:t>(3)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8.81</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53,857</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15,152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110,095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PDM common stock. Restricted stock units may be settled in cash or common stock at PDM's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October 1, 2024, the reporting person was granted 60,606 restricted stock units, vesting in four equal, annual installments beginning on the anniversary of the grant date. On October 1, 2026, the second 25% of the grant vested (15,152 shares) and was settled in PDM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 connection with this vesting, 4,446 shares were forfeited by the employee and delivered to PDM to satisfy tax withholding obligations.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 Wade Grace III as Attorney-in-Fact for Sherry L. Rexroad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4597" TargetMode="External"/><Relationship Id="rId5" Type="http://schemas.openxmlformats.org/officeDocument/2006/relationships/hyperlink" Target="http://www.sec.gov/cgi-bin/browse-edgar?action=getcompany&amp;CIK=00010427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3726</Characters>
  <CharactersWithSpaces>4331</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