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824d8k.htm"/>
      <w:bookmarkStart w:id="1" w:name="ksd15382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September 17, 2026</w:t>
      </w:r>
    </w:p>
    <w:p>
      <w:pPr>
        <w:pStyle w:val="TextBody"/>
        <w:bidi w:val="0"/>
        <w:spacing w:before="0" w:after="0"/>
        <w:jc w:val="center"/>
        <w:rPr>
          <w:rFonts w:ascii="Times New Roman" w:hAnsi="Times New Roman"/>
          <w:b/>
          <w:sz w:val="24"/>
        </w:rPr>
      </w:pPr>
      <w:r>
        <w:rPr>
          <w:rFonts w:ascii="Times New Roman" w:hAnsi="Times New Roman"/>
          <w:b/>
          <w:sz w:val="24"/>
        </w:rPr>
        <w:t>(Date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Piedmont Realty Trust,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00" w:type="dxa"/>
        <w:jc w:val="left"/>
        <w:tblInd w:w="0" w:type="dxa"/>
        <w:tblLayout w:type="fixed"/>
        <w:tblCellMar>
          <w:top w:w="0" w:type="dxa"/>
          <w:left w:w="0" w:type="dxa"/>
          <w:bottom w:w="0" w:type="dxa"/>
          <w:right w:w="0" w:type="dxa"/>
        </w:tblCellMar>
      </w:tblPr>
      <w:tblGrid>
        <w:gridCol w:w="2345"/>
        <w:gridCol w:w="60"/>
        <w:gridCol w:w="1055"/>
        <w:gridCol w:w="60"/>
        <w:gridCol w:w="188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001-34626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58-2328421</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5565 Glenridge Connector Ste. 450</w:t>
      </w:r>
    </w:p>
    <w:p>
      <w:pPr>
        <w:pStyle w:val="TextBody"/>
        <w:bidi w:val="0"/>
        <w:spacing w:before="0" w:after="0"/>
        <w:jc w:val="center"/>
        <w:rPr>
          <w:rFonts w:ascii="Times New Roman" w:hAnsi="Times New Roman"/>
          <w:b/>
          <w:sz w:val="20"/>
        </w:rPr>
      </w:pPr>
      <w:r>
        <w:rPr>
          <w:rFonts w:ascii="Times New Roman" w:hAnsi="Times New Roman"/>
          <w:b/>
          <w:sz w:val="20"/>
        </w:rPr>
        <w:t>Atlanta, Georgia 30342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(770) 418-8800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495" w:type="dxa"/>
        <w:jc w:val="left"/>
        <w:tblInd w:w="0" w:type="dxa"/>
        <w:tblLayout w:type="fixed"/>
        <w:tblCellMar>
          <w:top w:w="0" w:type="dxa"/>
          <w:left w:w="0" w:type="dxa"/>
          <w:bottom w:w="0" w:type="dxa"/>
          <w:right w:w="0" w:type="dxa"/>
        </w:tblCellMar>
      </w:tblPr>
      <w:tblGrid>
        <w:gridCol w:w="3110"/>
        <w:gridCol w:w="60"/>
        <w:gridCol w:w="605"/>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PDM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or Amendment of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On September 17, 2026, Piedmont Operating Partnership, LP (the “</w:t>
      </w:r>
      <w:r>
        <w:rPr>
          <w:rFonts w:ascii="Times New Roman" w:hAnsi="Times New Roman"/>
          <w:sz w:val="20"/>
          <w:u w:val="single"/>
        </w:rPr>
        <w:t>Operating Partnership</w:t>
      </w:r>
      <w:r>
        <w:rPr>
          <w:rFonts w:ascii="Times New Roman" w:hAnsi="Times New Roman"/>
          <w:sz w:val="20"/>
        </w:rPr>
        <w:t>”), the operating partnership and wholly owned subsidiary of Piedmont Realty Trust, Inc. (the “</w:t>
      </w:r>
      <w:r>
        <w:rPr>
          <w:rFonts w:ascii="Times New Roman" w:hAnsi="Times New Roman"/>
          <w:sz w:val="20"/>
          <w:u w:val="single"/>
        </w:rPr>
        <w:t>Company</w:t>
      </w:r>
      <w:r>
        <w:rPr>
          <w:rFonts w:ascii="Times New Roman" w:hAnsi="Times New Roman"/>
          <w:sz w:val="20"/>
        </w:rPr>
        <w:t>”), issued $230,000,000 principal amount of its 2.875% Exchangeable Senior Notes due 2031 (the “</w:t>
      </w:r>
      <w:r>
        <w:rPr>
          <w:rFonts w:ascii="Times New Roman" w:hAnsi="Times New Roman"/>
          <w:sz w:val="20"/>
          <w:u w:val="single"/>
        </w:rPr>
        <w:t>Notes</w:t>
      </w:r>
      <w:r>
        <w:rPr>
          <w:rFonts w:ascii="Times New Roman" w:hAnsi="Times New Roman"/>
          <w:sz w:val="20"/>
        </w:rPr>
        <w:t>”), which mature on February 1, 2031, pursuant to an indenture, dated as of September 17, 2026, among the Operating Partnership, the Company and U.S. Bank Trust Company, National Association, as trustee (the “</w:t>
      </w:r>
      <w:r>
        <w:rPr>
          <w:rFonts w:ascii="Times New Roman" w:hAnsi="Times New Roman"/>
          <w:sz w:val="20"/>
          <w:u w:val="single"/>
        </w:rPr>
        <w:t>Indenture</w:t>
      </w:r>
      <w:r>
        <w:rPr>
          <w:rFonts w:ascii="Times New Roman" w:hAnsi="Times New Roman"/>
          <w:sz w:val="20"/>
        </w:rPr>
        <w:t>”). The Notes are fully and unconditionally guaranteed by the Company. Interest on the Notes is payable semi-annually on February 1 and August 1 of each year, commencing February 1, 2027. The Notes will bear interest at a rate of 2.875% per year. Pursuant to a purchase agreement entered into among the Operating Partnership, the Company and the representatives of the initial purchasers of the Notes, dated September 14, 2026, the Operating Partnership granted to such initial purchasers an option to purchase up to an additional $30,000,000 principal amount of Notes (the “</w:t>
      </w:r>
      <w:r>
        <w:rPr>
          <w:rFonts w:ascii="Times New Roman" w:hAnsi="Times New Roman"/>
          <w:sz w:val="20"/>
          <w:u w:val="single"/>
        </w:rPr>
        <w:t>Option Notes</w:t>
      </w:r>
      <w:r>
        <w:rPr>
          <w:rFonts w:ascii="Times New Roman" w:hAnsi="Times New Roman"/>
          <w:sz w:val="20"/>
        </w:rPr>
        <w:t>”). The Notes issued on September 17, 2026 include $30,000,000 aggregate principal amount of Option Notes.</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guarantee of the Company are the senior, unsecured obligations of the Operating Partnership and the Company, respectively, and rank equal in right of payment with existing and future senior, unsecured indebtedness of the Operating Partnership and the Company, respectively, senior in right of payment to existing and future indebtedness of the Operating Partnership and the Company, respectively, that is expressly subordinated to the Notes and the guarantee, respectively, and effectively subordinated to existing and future secured indebtedness of the Operating Partnership and the Company, respectively, to the extent of the value of the collateral securing that indebtedness. </w:t>
      </w:r>
    </w:p>
    <w:p>
      <w:pPr>
        <w:pStyle w:val="TextBody"/>
        <w:bidi w:val="0"/>
        <w:spacing w:before="240" w:after="0"/>
        <w:jc w:val="left"/>
        <w:rPr>
          <w:rFonts w:ascii="Times New Roman" w:hAnsi="Times New Roman"/>
          <w:sz w:val="20"/>
        </w:rPr>
      </w:pPr>
      <w:r>
        <w:rPr>
          <w:rFonts w:ascii="Times New Roman" w:hAnsi="Times New Roman"/>
          <w:sz w:val="20"/>
        </w:rPr>
        <w:t xml:space="preserve">Before November 1, 2030, noteholders will have the right to exchange their Notes only upon the occurrence of certain events. From and after November 1, 2030 noteholders may exchange their Notes at any time at their election until the close of business on the second scheduled trading day immediately before the maturity date. The Operating Partnership will have the right to elect to settle exchanges either entirely in cash or in a combination of cash and shares of the Company’s common stock. The kind and amount of consideration due upon exchange will be determined based on the exchange value of the Notes, measured proportionately for each trading day in an “Observation Period” (as defined in the Indenture) consisting of 60 trading days, and settled following the completion of that Observation Period. The consideration due in respect of each trading day in the Observation Period will consist of cash, up to at least the proportional amount of the principal amount being exchanged, and any excess of the proportional exchange value for that trading day that will not be settled in cash will be settled in shares of the Company’s common stock. The initial exchange rate is 79.0514 shares of the Company’s common stock per $1,000 principal amount of Notes, which represents an initial exchange price of approximately $12.65 per share of the Company’s common stock. The exchange rate and exchange price will be subject to customary adjustments upon the occurrence of certain events. In addition, if certain corporate events that constitute a “Make-Whole Fundamental Change” (as defined in the Indenture) occur, then the exchange rate will, in certain circumstances, be increased for a specified period of time. </w:t>
      </w:r>
    </w:p>
    <w:p>
      <w:pPr>
        <w:pStyle w:val="TextBody"/>
        <w:bidi w:val="0"/>
        <w:spacing w:before="240" w:after="0"/>
        <w:jc w:val="left"/>
        <w:rPr>
          <w:rFonts w:ascii="Times New Roman" w:hAnsi="Times New Roman"/>
          <w:sz w:val="20"/>
        </w:rPr>
      </w:pPr>
      <w:r>
        <w:rPr>
          <w:rFonts w:ascii="Times New Roman" w:hAnsi="Times New Roman"/>
          <w:sz w:val="20"/>
        </w:rPr>
        <w:t>The Operating Partnership may redeem the Notes, in whole or in part (subject to certain limitations described below), at the Operating Partnership’s option at any time, and from time to time, on or after August 6, 2029 and on or before the 60th scheduled trading day immediately before the maturity date, but only if certain liquidity conditions are satisfied and the last reported sale price per share of the Company’s common stock exceeds 130% of the exchange price on (i) each of at least 20 trading days, whether or not consecutive, during the 30 consecutive trading days ending on, and including, the trading day immediately before the date the Operating Partnership sends the related redemption notice; and (ii) the trading day immediately before the date the Operating Partnership sends such redemption notice (a “</w:t>
      </w:r>
      <w:r>
        <w:rPr>
          <w:rFonts w:ascii="Times New Roman" w:hAnsi="Times New Roman"/>
          <w:sz w:val="20"/>
          <w:u w:val="single"/>
        </w:rPr>
        <w:t>provisional redemption</w:t>
      </w:r>
      <w:r>
        <w:rPr>
          <w:rFonts w:ascii="Times New Roman" w:hAnsi="Times New Roman"/>
          <w:sz w:val="20"/>
        </w:rPr>
        <w:t>”). In addition, the Notes will be redeemable, in whole or in part (subject to certain limitations described below), at the Operating Partnership’s option at any time, and from time to time, to the extent necessary to preserve the Company’s status as a real estate investment trust for U.S. federal income tax purposes (a “</w:t>
      </w:r>
      <w:r>
        <w:rPr>
          <w:rFonts w:ascii="Times New Roman" w:hAnsi="Times New Roman"/>
          <w:sz w:val="20"/>
          <w:u w:val="single"/>
        </w:rPr>
        <w:t>REIT preservation redemption</w:t>
      </w:r>
      <w:r>
        <w:rPr>
          <w:rFonts w:ascii="Times New Roman" w:hAnsi="Times New Roman"/>
          <w:sz w:val="20"/>
        </w:rPr>
        <w:t xml:space="preserve">”), or if less than 10% of the Notes are outstanding, in each case, so long as certain liquidity conditions are satisfied. However, the Operating Partnership may not redeem less than all of the outstanding Notes in a provisional redemption or a REIT preservation redemption unless at least $100.0 million aggregate principal amount of Notes are outstanding and not called for redemption as of the time the Operating Partnership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exchange rate applicable to the exchange of that Note will be increased in certain circumstances if it is exchanged after it is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certain corporate events that constitute a “Fundamental Change” (as defined in the Indenture) occur, then, subject to a limited exception for certain cash mergers, noteholders may require the Operating Partnership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a Registration Default Event (as defined in the Registration Rights Agreement referred to below) occurs or is continuing at any time during the period after the regular record date immediately preceding the maturity date and on or before the maturity date (or, if the maturity date is not a business day, the next business day), then the Operating Partnership will pay a cash premium (the “</w:t>
      </w:r>
      <w:r>
        <w:rPr>
          <w:rFonts w:ascii="Times New Roman" w:hAnsi="Times New Roman"/>
          <w:sz w:val="20"/>
          <w:u w:val="single"/>
        </w:rPr>
        <w:t>Maturity Premium</w:t>
      </w:r>
      <w:r>
        <w:rPr>
          <w:rFonts w:ascii="Times New Roman" w:hAnsi="Times New Roman"/>
          <w:sz w:val="20"/>
        </w:rPr>
        <w:t xml:space="preserve">”) at maturity of certain exchanged Notes in an amount equal to 3% of their principal amount,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Operating Partnership’s failure to send certain notices under the Indenture within specified periods of time; (iii) the failure by the Operating Partnership or the Company to comply with certain covenants in the Indenture relating to the ability of the Operating Partnership or the Company to consolidate with or merge with or into, or sell, lease or otherwise transfer, in one transaction or a series of transactions, all or substantially all of the assets of the Operating Partnership or the Company, as applicable, and its subsidiaries, taken as a whole, to another person; (iv) a default by the Operating Partnership or the Company in its other obligations or agreements under the Indenture or the Notes if such default is not cured or waived within 60 days after notice is given in accordance with the Indenture; (v) certain defaults by the Operating Partnership, the Company or any of their respective subsidiaries with respect to indebtedness for borrowed money with a principal amount outstanding at least $50,000,000; (vi) the Operating Partnership or the Company denies or disaffirms its obligations under the Registration Rights Agreement described below; and (vii) certain events of bankruptcy, insolvency and reorganization involving the Operating Partnership, the Company or any of their respective significant subsidiaries; and (viii) the guarantee of the Notes ceases to be in full force and effect (except as permitted by the Indenture) or the Company denies or disaffirms its obligations under its guarantee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involving bankruptcy, insolvency or reorganization events with respect to the Operating Partnership or the Company (and not solely with respect to a significant subsidiary of the Operating Partnership or the Company (other than the Operating Partnership)) occurs, then the principal amount of, and all accrued and unpaid interest on, and the Maturity Premium, if any, in respect of, all of the Notes then outstanding will immediately become due and payable without any further action or notice by any person. If any other Event of Default occurs and is continuing, then, the trustee, by notice to the Operating Partnership, or noteholders of at least 25% of the aggregate principal amount of Notes then outstanding, by notice to the Operating Partnership and the trustee, may declare the principal amount of, and all accrued and unpaid interest on, and the maturity premium, if any, in respect of, all of the Notes then outstanding to become due and payable immediately. However, notwithstanding the foregoing, the Operating Partnership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360 days at a specified rate per annum not exceeding 0.50% on the principal amount of the Notes. </w:t>
      </w:r>
    </w:p>
    <w:p>
      <w:pPr>
        <w:pStyle w:val="TextBody"/>
        <w:bidi w:val="0"/>
        <w:spacing w:before="240" w:after="0"/>
        <w:jc w:val="left"/>
        <w:rPr>
          <w:rFonts w:ascii="Times New Roman" w:hAnsi="Times New Roman"/>
          <w:sz w:val="20"/>
        </w:rPr>
      </w:pPr>
      <w:r>
        <w:rPr>
          <w:rFonts w:ascii="Times New Roman" w:hAnsi="Times New Roman"/>
          <w:sz w:val="20"/>
        </w:rPr>
        <w:t>The Operating Partnership intends to use the net proceeds from the Notes, together with the net proceeds from the settlement of certain forward sale transactions entered into under the Company’s at-the-market equity program, cash on hand and borrowings under its line of credit, to redeem all of its outstanding 9.250% senior notes due 2028 (the “</w:t>
      </w:r>
      <w:r>
        <w:rPr>
          <w:rFonts w:ascii="Times New Roman" w:hAnsi="Times New Roman"/>
          <w:sz w:val="20"/>
          <w:u w:val="single"/>
        </w:rPr>
        <w:t>2028 Notes</w:t>
      </w:r>
      <w:r>
        <w:rPr>
          <w:rFonts w:ascii="Times New Roman" w:hAnsi="Times New Roman"/>
          <w:sz w:val="20"/>
        </w:rPr>
        <w:t xml:space="preserve">”) and pay the applicable make-whole premium and accrued and unpaid interest with respect thereto. The Operating Partnership used approximately $50 million of the net proceeds to repurchase 5,434,782 shares of the Company’s common stock from certain purchasers of the Notes in privately negotiated transactions effected concurrently with the pricing of the offering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initial issuance of the Notes, the Operating Partnership and the Company entered into a registration rights agreement (the “</w:t>
      </w:r>
      <w:r>
        <w:rPr>
          <w:rFonts w:ascii="Times New Roman" w:hAnsi="Times New Roman"/>
          <w:sz w:val="20"/>
          <w:u w:val="single"/>
        </w:rPr>
        <w:t>Registration Rights Agreement</w:t>
      </w:r>
      <w:r>
        <w:rPr>
          <w:rFonts w:ascii="Times New Roman" w:hAnsi="Times New Roman"/>
          <w:sz w:val="20"/>
        </w:rPr>
        <w:t>”) with the representatives of the initial purchasers. Pursuant to the Registration Rights Agreement, the Company agreed to prepare and file with the Securities and Exchange Commission (the “</w:t>
      </w:r>
      <w:r>
        <w:rPr>
          <w:rFonts w:ascii="Times New Roman" w:hAnsi="Times New Roman"/>
          <w:sz w:val="20"/>
          <w:u w:val="single"/>
        </w:rPr>
        <w:t>SEC</w:t>
      </w:r>
      <w:r>
        <w:rPr>
          <w:rFonts w:ascii="Times New Roman" w:hAnsi="Times New Roman"/>
          <w:sz w:val="20"/>
        </w:rPr>
        <w:t>”) a resale registration statement under the Securities Act of 1933, as amended (the “</w:t>
      </w:r>
      <w:r>
        <w:rPr>
          <w:rFonts w:ascii="Times New Roman" w:hAnsi="Times New Roman"/>
          <w:sz w:val="20"/>
          <w:u w:val="single"/>
        </w:rPr>
        <w:t>Securities Act</w:t>
      </w:r>
      <w:r>
        <w:rPr>
          <w:rFonts w:ascii="Times New Roman" w:hAnsi="Times New Roman"/>
          <w:sz w:val="20"/>
        </w:rPr>
        <w:t xml:space="preserve">”), covering the resale of the shares of the Company’s common stock, if any, issuable upon exchange of the Notes by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beneficial owners of the shares who satisfy certain conditions and timely provide certain information to the Operating Partnership. Subject to certain exceptions and limitations, the Registration Rights Agreement requires the Company to use commercially reasonable efforts to cause the resale registration statement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become effective under the Securities Act by the “resale registration statement effectiveness deadline date,” which is the date that is 180 days after the date the Notes are first issued;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(whether directly or indirectly through one or more of its subsidiaries) has completed a significant acquisition and has not filed the financial statements required by Regulation S-X under Securities Exchange Act of 1934, as amended, for such significant acquisition with the SEC by the date that would otherwise be the resale registration statement effectiveness deadline date, then the resale registration statement effectiveness deadline date will instead be the earlier of (i) the 210th day after the date the Notes are first issued; and (ii) the 30th calendar day after the date such financial statements are first filed (or, if earlier, are required to be filed) with the SEC; and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70"/>
        <w:gridCol w:w="6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remain continuously effective and usable for a specified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Company will have the right, in certain circumstances, to suspend the availability of the resale registration statement during “blackout periods” if there occurs or exists any pending corporate development, filing with the SEC or any other event, in each case that makes such suspension appropriate in the Company’s reasonable judgment. The Company’s right to institute or maintain blackout periods will be limited such that all blackout periods, together, may not exceed an aggregate of (i) 45 (or, in the case of certain proposed or pending material business transactions, up to 60) calendar days (whether or not consecutive) in any 90 consecutive calendar day period; or (ii) 90 (or, in the case of certain proposed or pending material business transactions, up to 120) calendar days (whether or not consecutive) in any 360 consecutive calendar day period.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when the resale registration statement must remain effective, the Registration Rights Agreement requires the Company to make filings with the SEC to name new selling securityholders in the related prospectus or prospectus supplement to enable them to resell their shares of the Company’s common stock, if any, issuable upon exchange of the Notes pursuant to the resale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and the Indenture provide that additional interest will accrue on certain Notes during the continuance of a Registration Default Event (as defined in the Registration Rights Agreement). Subject to certain limitations, additional interest will accrue: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all of the outstanding Notes for each day on which resale registration statement is not on file with the SEC, effective under the Securities Act or usable during the period when it is required to be pursuant to the Registration Rights Agreement, but only to the extent that the number of days on which the resale registration statement is not so on file, effective or usable (inclusive of any blackout period) exceeds (1) 45 (or, in the case of certain proposed or pending material business transactions, 60) calendar days (whether or not consecutive) in any 90 consecutive calendar day period; or (2) 90 (or, in the case of certain proposed or pending material business transactions, 120) calendar days (whether or not consecutive) in any 360 consecutive calendar day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any outstanding Note (and only such Note) for each day (other than during a blackout period) after certain specified deadlines on which, due to an omission, the beneficial owner of such Note is not named as a selling securityholder in the related prospectus or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any additional interest that accrues on a Note will, regardless of the number of events giving rise to such accrual, accrue at a rate per annum equal to 0.25% of the principal amount thereof for the first 90 days on which additional interest accrues and, thereafter, at a rate per annum equal to 0.50% of the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requires the Operating Partnership and the Company to indemnify certain holders and their affiliated parties for certain losses arising in connection with material misstatements or omissions (or alleged material statements or omissions) in the resale registration statement or related documents.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above description of the Registration Rights Agreement is a summary and is not complete. A copy of the Registration Rights Agreement is filed as exhibit 4.3 to this Current Report on Form 8-K, and the above summary is qualified by reference to the terms of the Registration Rights Agreement set forth in such exhibit.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Off-Balance Sheet Arrangement. </w:t>
      </w:r>
    </w:p>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in Item 1.01 above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in Item 1.01 above is incorporated by reference into this Item 3.02. The Notes were issued to the initial purchasers in reliance upon Section 4(a)(2) of the Securities Act in transactions not involving any public offering. The Notes were resold by the initial purchasers to persons whom the initial purchasers reasonably believe are “qualified institutional buyers,” as defined in, and in accordance with, Rule 144A under the Securities Act. Any shares of the Company’s common stock that may be issued upon exchange of the Notes will be issued in reliance upon Section 4(a)(2) of the Securities Act in transactions not involving any public offering. Initially, a maximum of 24,999,988 shares of the Company’s common stock may be issued upon exchange of the Notes, based on the initial maximum exchange rate of 108.6956 shares of common stock per $1,000 principal amount of Notes, which is subject to customary anti-dilution adjustment provisions.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is neither an offer to sell, nor a solicitation of an offer to buy, any security and shall not constitute an offer, solicitation or sale in any jurisdiction in which such offer, solicitation or sale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53824dex41.htm">
              <w:r>
                <w:rPr>
                  <w:rStyle w:val="InternetLink"/>
                </w:rPr>
                <w:t xml:space="preserve">Indenture, dated as of September 17, 2026, among Piedmont Realty Trust, Inc., Piedmont Operating Partnership, LP, and U.S. Bank Trust Company, National Association, as trustee.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53824dex41.htm">
              <w:r>
                <w:rPr>
                  <w:rStyle w:val="InternetLink"/>
                </w:rPr>
                <w:t xml:space="preserve">Form of certificate representing the 2.875% Exchangeable Senior Notes due 2031 (included as Exhibit A to Exhibit 4.1).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53824dex43.htm">
              <w:r>
                <w:rPr>
                  <w:rStyle w:val="InternetLink"/>
                </w:rPr>
                <w:t xml:space="preserve">Registration Rights Agreement, dated as of September 17, 2026, among Piedmont Realty Trust, Inc., Piedmont Operating Partnership, LP, and the representatives of the initial purchasers.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73"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507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Piedmont Realty Trust,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Sherry L. Rexroad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Sherry L. Rexroad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Chief Financial Officer and Executive Vice President</w:t>
            </w:r>
          </w:p>
        </w:tc>
      </w:tr>
    </w:tbl>
    <w:p>
      <w:pPr>
        <w:pStyle w:val="TextBody"/>
        <w:bidi w:val="0"/>
        <w:spacing w:before="0" w:after="0"/>
        <w:jc w:val="right"/>
        <w:rPr>
          <w:rFonts w:ascii="Times New Roman" w:hAnsi="Times New Roman"/>
          <w:b/>
          <w:sz w:val="20"/>
        </w:rPr>
      </w:pPr>
      <w:bookmarkStart w:id="2" w:name="d153824dex41.htm"/>
      <w:bookmarkStart w:id="3" w:name="ksd153824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PIEDMONT OPERATING PARTNERSHIP, LP, </w:t>
      </w:r>
    </w:p>
    <w:p>
      <w:pPr>
        <w:pStyle w:val="TextBody"/>
        <w:bidi w:val="0"/>
        <w:spacing w:before="240" w:after="0"/>
        <w:jc w:val="center"/>
        <w:rPr>
          <w:rFonts w:ascii="Times New Roman" w:hAnsi="Times New Roman"/>
          <w:b/>
          <w:sz w:val="20"/>
        </w:rPr>
      </w:pPr>
      <w:r>
        <w:rPr>
          <w:rFonts w:ascii="Times New Roman" w:hAnsi="Times New Roman"/>
          <w:b/>
          <w:sz w:val="20"/>
        </w:rPr>
        <w:t xml:space="preserve">THE PARENT GUARANTOR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2.875% Exchangeable Senior Notes due 2031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39"/>
        <w:gridCol w:w="173"/>
        <w:gridCol w:w="60"/>
        <w:gridCol w:w="270"/>
        <w:gridCol w:w="63"/>
      </w:tblGrid>
      <w:tr>
        <w:trPr/>
        <w:tc>
          <w:tcPr>
            <w:tcW w:w="9639"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 Rules of Construction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 Definitions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  Other Definitions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  Rules of Construction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Article 2  The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 Form, Dating and Denominations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 Execution, Authentication and Delivery</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 Initial Notes and Additional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  Method of Payment</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  Accrual of Interest; Defaulted Amounts; When Payment Date is Not a Business Day</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  Registrar, Paying Agent and Exchange Agent</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  Paying Agent and Exchange Agent to Hold Property in Trust</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  Holder Lists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  Legends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  Transfers and Exchanges; Certain Transfer Restrictions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  Exchange and Cancellation of Notes to Be Exchanged or to Be Repurchased Pursuant to a Repurchase Upon Fundamental Change or Redemption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  Replacement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  Registered Holders; Certain Rights with Respect to Global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2.14  Cancellation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2.15  Notes Held by the Company or its Affiliates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2.16  Temporary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2.17  Outstanding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2.18  Repurchases by the Company</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2.19  CUSIP and ISIN Numbers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Article 3  Covenants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 Payment on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 Exchange Act Reports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  Rule 144A Information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  Additional Interest</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  Maturity Premium</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  Compliance and Default Certificates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  Stay, Extension and Usury Laws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  Acquisition of Notes by the Company and its Affiliates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Article 4  Repurchase and Redemption</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39" w:type="dxa"/>
            <w:tcBorders/>
            <w:vAlign w:val="center"/>
          </w:tcPr>
          <w:p>
            <w:pPr>
              <w:pStyle w:val="TableContents"/>
              <w:bidi w:val="0"/>
              <w:spacing w:before="0" w:after="283"/>
              <w:jc w:val="left"/>
              <w:rPr>
                <w:sz w:val="4"/>
                <w:szCs w:val="4"/>
              </w:rPr>
            </w:pPr>
            <w:r>
              <w:rPr>
                <w:sz w:val="4"/>
                <w:szCs w:val="4"/>
              </w:rPr>
            </w:r>
          </w:p>
        </w:tc>
        <w:tc>
          <w:tcPr>
            <w:tcW w:w="566" w:type="dxa"/>
            <w:gridSpan w:val="4"/>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 No Sinking Fund</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 Right of Holders to Require the Company to Repurchase Notes Upon a Fundamental Change</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4.03  Right of the Company to Redeem the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5"/>
        <w:gridCol w:w="168"/>
        <w:gridCol w:w="60"/>
        <w:gridCol w:w="260"/>
        <w:gridCol w:w="62"/>
      </w:tblGrid>
      <w:tr>
        <w:trPr/>
        <w:tc>
          <w:tcPr>
            <w:tcW w:w="96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5  The Exchange of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  Right to Exchange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5.02  Exchange Procedures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5.03  Settlement Upon Exchange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5.04  Reserve and Status of Common Stock Issued Upon Exchange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5.05  Adjustments to the Exchange Rate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5.06  Voluntary Adjustments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5.07  Adjustments to the Exchange Rate in Connection with a Make-Whole Fundamental 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5.08  Transfer of Notes to Be Exchanged to a Third Party for Settlement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5.09  Effect of Common Stock Change Event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5.10  Deemed Representation Upon Exchange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6  Successors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  When the Company May Merge,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6.02  Successor Entity Substituted</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6.03  Exclusion for Asset Transfers with Parent Guarantor or Wholly Owned Subsidiaries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7  Defaults and Remedies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7.01  Events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7.02  Acceleration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7.03  Sole Remedy for a Failure to Report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7.04  Other Remedies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7.05  Waiver of Past Defaults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7.06  Cure of Defaults; Ability to Cure or Waive Before Event of Default Occurs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7.07  Control by Majority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7.08  Limitation on Suits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7.09  Absolute Right of Holders to Institute Suit for the Enforcement of the Right to Receive Payment and Exchange Consideration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7.10  Collection Suit by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  Trustee May File Proofs of Claim</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7.12  Priorities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  Undertaking for Costs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 Restoration of Rights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8  Amendments, Supplements and Waivers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  Without the Consent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8.02  With the Consent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8.03  Notice of Amendments, Supplements and Waivers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8.04  Revocation, Effect and Solicitation of Consents; Special Record Dates;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8.05  Notations and Exchanges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8.06  Trustee to Execute Supplemental Indentures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0"/>
        <w:gridCol w:w="169"/>
        <w:gridCol w:w="60"/>
        <w:gridCol w:w="263"/>
        <w:gridCol w:w="63"/>
      </w:tblGrid>
      <w:tr>
        <w:trPr/>
        <w:tc>
          <w:tcPr>
            <w:tcW w:w="965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9  Guarantee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9.01  Guarantee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9.02  Limitation on Parent Guarantor Liability</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9.03  Execution and Delivery of Guarantee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9.04  When the Parent Guarantor May Merge, Etc.</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9.05  Application of Certain Provisions to the Parent Guarantor</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9.06  Automatic Release of Guarantee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10  Satisfaction and Discharge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10.01  Termination of Company’s Obligations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10.02  Repayment to Company</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10.03  Reinstatement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11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11.01  Duties of the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11.02  Rights of the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11.03  Individual Rights of the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11.04  Trustee’s Disclaimer</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11.05  Notice of Defaults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11.06  Compensation and Indemnity</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11.07  Replacement of the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11.08  Successor Trustee by Merger, Etc.</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11.09  Eligibility; Disqualification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12  Miscellaneous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12.01  Notices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12.02  Delivery of Officer’s Certificate and Opinion of Counsel as to Conditions Precedent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12.03  Statements Required in Officer’s Certificate and Opinion of Counsel</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12.04  Rules by the Trustee, the Registrar, the Paying Agent and the Exchange Agent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12.05  No Personal Liability of Directors, Officers, Employees, Partners and Stockholders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12.06  Governing Law; Waiver of Jury Trial</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12.07  Submission to Jurisdiction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12.08  No Adverse Interpretation of Other Agreements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12.09  Successors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12.10  Force Majeure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12.11  U.S.A. PATRIOT Act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12.12  Calculations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12.13  Severability</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12.14  Counterparts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12.15  Table of Contents, Headings, Etc.</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12.16  Withholding Taxes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436"/>
        <w:gridCol w:w="146"/>
        <w:gridCol w:w="60"/>
        <w:gridCol w:w="500"/>
        <w:gridCol w:w="63"/>
      </w:tblGrid>
      <w:tr>
        <w:trPr/>
        <w:tc>
          <w:tcPr>
            <w:tcW w:w="943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Exhibits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A: Form of Note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B-1: Form of Restricted Note Legend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B1-1</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B-2: Form of Global Note Legend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B2-1</w:t>
            </w:r>
          </w:p>
        </w:tc>
        <w:tc>
          <w:tcPr>
            <w:tcW w:w="63" w:type="dxa"/>
            <w:tcBorders/>
            <w:vAlign w:val="bottom"/>
          </w:tcPr>
          <w:p>
            <w:pPr>
              <w:pStyle w:val="TableContents"/>
              <w:bidi w:val="0"/>
              <w:spacing w:before="0" w:after="283"/>
              <w:jc w:val="left"/>
              <w:rPr/>
            </w:pPr>
            <w:r>
              <w:rPr/>
              <w:t> </w:t>
            </w:r>
          </w:p>
        </w:tc>
      </w:tr>
      <w:tr>
        <w:trPr>
          <w:trHeight w:val="120" w:hRule="atLeast"/>
        </w:trPr>
        <w:tc>
          <w:tcPr>
            <w:tcW w:w="9436" w:type="dxa"/>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tcBorders/>
          </w:tcPr>
          <w:p>
            <w:pPr>
              <w:pStyle w:val="TableContents"/>
              <w:bidi w:val="0"/>
              <w:spacing w:before="0" w:after="0"/>
              <w:jc w:val="left"/>
              <w:rPr>
                <w:rFonts w:ascii="Times New Roman" w:hAnsi="Times New Roman"/>
                <w:sz w:val="20"/>
              </w:rPr>
            </w:pPr>
            <w:r>
              <w:rPr>
                <w:rFonts w:ascii="Times New Roman" w:hAnsi="Times New Roman"/>
                <w:sz w:val="20"/>
              </w:rPr>
              <w:t>Exhibit B-3: Form of Non-Affiliate Legend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September 17, 2026, among Piedmont Operating Partnership, LP, a Delaware limited partnership, as issuer (the “</w:t>
      </w:r>
      <w:r>
        <w:rPr>
          <w:rFonts w:ascii="Times New Roman" w:hAnsi="Times New Roman"/>
          <w:b/>
          <w:sz w:val="20"/>
        </w:rPr>
        <w:t>Company</w:t>
      </w:r>
      <w:r>
        <w:rPr>
          <w:rFonts w:ascii="Times New Roman" w:hAnsi="Times New Roman"/>
          <w:sz w:val="20"/>
        </w:rPr>
        <w:t>”), Piedmont Realty Trust, Inc., a Maryland corporation, as parent guarantor (the “</w:t>
      </w:r>
      <w:r>
        <w:rPr>
          <w:rFonts w:ascii="Times New Roman" w:hAnsi="Times New Roman"/>
          <w:b/>
          <w:sz w:val="20"/>
        </w:rPr>
        <w:t>Parent Guarantor</w:t>
      </w:r>
      <w:r>
        <w:rPr>
          <w:rFonts w:ascii="Times New Roman" w:hAnsi="Times New Roman"/>
          <w:sz w:val="20"/>
        </w:rPr>
        <w:t>”), and U.S. Bank Trust Company, National Association,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party to this Indenture (as defined below) agrees as follows for the benefit of the other parties and for the equal and ratable benefit of the Holders (as defined below) of the Company’s 2.875% Exchangeable Senior Notes due 2031 (the “</w:t>
      </w:r>
      <w:r>
        <w:rPr>
          <w:rFonts w:ascii="Times New Roman" w:hAnsi="Times New Roman"/>
          <w:b/>
          <w:sz w:val="20"/>
        </w:rPr>
        <w:t>Notes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DEFINITIONS; RULES OF CONSTRUCTION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120" w:after="0"/>
        <w:jc w:val="left"/>
        <w:rPr/>
      </w:pPr>
      <w:r>
        <w:rPr/>
        <w:t>“</w:t>
      </w:r>
      <w:r>
        <w:rPr>
          <w:rFonts w:ascii="Times New Roman" w:hAnsi="Times New Roman"/>
          <w:b/>
          <w:sz w:val="20"/>
        </w:rPr>
        <w:t>3(a)(9) Period</w:t>
      </w:r>
      <w:r>
        <w:rPr>
          <w:rFonts w:ascii="Times New Roman" w:hAnsi="Times New Roman"/>
          <w:sz w:val="20"/>
        </w:rPr>
        <w:t xml:space="preserve">” means any period beginning on or after the date that is one year after the Last Date of Original Issuance of the Notes during which each of the following requirements is satisfied: </w:t>
      </w:r>
    </w:p>
    <w:p>
      <w:pPr>
        <w:pStyle w:val="TextBody"/>
        <w:bidi w:val="0"/>
        <w:spacing w:before="120" w:after="0"/>
        <w:jc w:val="left"/>
        <w:rPr>
          <w:rFonts w:ascii="Times New Roman" w:hAnsi="Times New Roman"/>
          <w:sz w:val="20"/>
        </w:rPr>
      </w:pPr>
      <w:r>
        <w:rPr>
          <w:rFonts w:ascii="Times New Roman" w:hAnsi="Times New Roman"/>
          <w:sz w:val="20"/>
        </w:rPr>
        <w:t xml:space="preserve">(A) the issuance on such day of the Common Stock or other securities issuable (including following a Common Stock Change Event) upon Exchange of the Notes would qualify for the exemption from the registration requirements of the Securities Act set forth in Section 3(a)(9) thereof, and such securities, upon issuance, would be eligible to be offered, sold or otherwise transferred pursuant to Rule 144 by a person that is not, and has not during the immediately preceding three months been, an Affiliate of the issuer thereof, without any requirement as to volume, manner of sale, availability of current public information or notice; </w:t>
      </w:r>
    </w:p>
    <w:p>
      <w:pPr>
        <w:pStyle w:val="TextBody"/>
        <w:bidi w:val="0"/>
        <w:spacing w:before="240" w:after="0"/>
        <w:jc w:val="left"/>
        <w:rPr>
          <w:rFonts w:ascii="Times New Roman" w:hAnsi="Times New Roman"/>
          <w:sz w:val="20"/>
        </w:rPr>
      </w:pPr>
      <w:r>
        <w:rPr>
          <w:rFonts w:ascii="Times New Roman" w:hAnsi="Times New Roman"/>
          <w:sz w:val="20"/>
        </w:rPr>
        <w:t xml:space="preserve">(B) the Parent Guarantor fully and unconditionally guarantees the Notes in accordance with this Indenture and directly or indirectly owns 100% of the outstanding equity interests of the Company on such day;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would deliver the Common Stock or other securities issued or issuable (including following a Common Stock Change Event) upon Exchange of the Notes (if any such securities are potentially so deliverable upon Exchange) on such day without a “restricted” CUSIP or ISIN number and without a restricted security legend.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as in effect on the Issue Date. </w:t>
      </w:r>
    </w:p>
    <w:p>
      <w:pPr>
        <w:pStyle w:val="TextBody"/>
        <w:bidi w:val="0"/>
        <w:spacing w:before="240" w:after="0"/>
        <w:jc w:val="left"/>
        <w:rPr/>
      </w:pPr>
      <w:r>
        <w:rPr/>
        <w:t>“</w:t>
      </w:r>
      <w:r>
        <w:rPr>
          <w:rFonts w:ascii="Times New Roman" w:hAnsi="Times New Roman"/>
          <w:b/>
          <w:sz w:val="20"/>
        </w:rPr>
        <w:t>Authorized Denomination</w:t>
      </w:r>
      <w:r>
        <w:rPr>
          <w:rFonts w:ascii="Times New Roman" w:hAnsi="Times New Roman"/>
          <w:sz w:val="20"/>
        </w:rPr>
        <w:t xml:space="preserve">” means, with respect to a Note, a principal amount thereof equal to $1,000 or any integral multiple of $1,000 in excess thereof.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means Title 11, United States Code, or any similar U.S. federal or state or non-U.S. law for the relief of debtors. </w:t>
      </w:r>
    </w:p>
    <w:p>
      <w:pPr>
        <w:pStyle w:val="TextBody"/>
        <w:bidi w:val="0"/>
        <w:spacing w:before="240" w:after="0"/>
        <w:jc w:val="left"/>
        <w:rPr/>
      </w:pPr>
      <w:r>
        <w:rPr/>
        <w:t>“</w:t>
      </w:r>
      <w:r>
        <w:rPr>
          <w:rFonts w:ascii="Times New Roman" w:hAnsi="Times New Roman"/>
          <w:b/>
          <w:sz w:val="20"/>
        </w:rPr>
        <w:t>Bid Solicitation Agent</w:t>
      </w:r>
      <w:r>
        <w:rPr>
          <w:rFonts w:ascii="Times New Roman" w:hAnsi="Times New Roman"/>
          <w:sz w:val="20"/>
        </w:rPr>
        <w:t xml:space="preserve">” means the Person who is required to obtain bids for the Trading Price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initial Bid Solicitation Agent on the Issue Date will be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appoint any other Person (including any of the Company’s Subsidiaries) to be the Bid Solicitation Agent at any time after the Issue Date without prior notice.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(or, in the case of a non-corporate entity, the equivalent governing body) of the Company or the Parent Guarantor, as the context requires, or a committee of such board (or governing body) duly authorized to act on behalf of such board.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Cleanup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$0.01 par value per share, of the Parent Guarantor,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Person named as such in the first paragraph of this Indenture and, subject to </w:t>
      </w:r>
      <w:r>
        <w:rPr>
          <w:rFonts w:ascii="Times New Roman" w:hAnsi="Times New Roman"/>
          <w:b/>
          <w:sz w:val="20"/>
        </w:rPr>
        <w:t>Article 6</w:t>
      </w:r>
      <w:r>
        <w:rPr>
          <w:rFonts w:ascii="Times New Roman" w:hAnsi="Times New Roman"/>
          <w:sz w:val="20"/>
        </w:rPr>
        <w:t xml:space="preserv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request or order signed on behalf of the Company by one (1) of its Officers and delivered to the Trustee. </w:t>
      </w:r>
    </w:p>
    <w:p>
      <w:pPr>
        <w:pStyle w:val="TextBody"/>
        <w:bidi w:val="0"/>
        <w:spacing w:before="240" w:after="0"/>
        <w:jc w:val="left"/>
        <w:rPr/>
      </w:pPr>
      <w:r>
        <w:rPr/>
        <w:t>“</w:t>
      </w:r>
      <w:r>
        <w:rPr>
          <w:rFonts w:ascii="Times New Roman" w:hAnsi="Times New Roman"/>
          <w:b/>
          <w:sz w:val="20"/>
        </w:rPr>
        <w:t>Daily Cash Amount</w:t>
      </w:r>
      <w:r>
        <w:rPr>
          <w:rFonts w:ascii="Times New Roman" w:hAnsi="Times New Roman"/>
          <w:sz w:val="20"/>
        </w:rPr>
        <w:t xml:space="preserve">” means, with respect to any VWAP Trading Day, the lesser of (A) the applicable Daily Maximum Cash Amount; and (B) the Daily Exchange Value for such VWAP Trading Day. </w:t>
      </w:r>
    </w:p>
    <w:p>
      <w:pPr>
        <w:pStyle w:val="TextBody"/>
        <w:bidi w:val="0"/>
        <w:spacing w:before="240" w:after="0"/>
        <w:jc w:val="left"/>
        <w:rPr/>
      </w:pPr>
      <w:r>
        <w:rPr/>
        <w:t>“</w:t>
      </w:r>
      <w:r>
        <w:rPr>
          <w:rFonts w:ascii="Times New Roman" w:hAnsi="Times New Roman"/>
          <w:b/>
          <w:sz w:val="20"/>
        </w:rPr>
        <w:t>Daily Exchange Value</w:t>
      </w:r>
      <w:r>
        <w:rPr>
          <w:rFonts w:ascii="Times New Roman" w:hAnsi="Times New Roman"/>
          <w:sz w:val="20"/>
        </w:rPr>
        <w:t xml:space="preserve">” means, with respect to any VWAP Trading Day, one-sixtieth (1/60th) of the product of (A) the Exchange Rate on such VWAP Trading Day; and (B) the Daily VWAP per share of Common Stock on such VWAP Trading Day. </w:t>
      </w:r>
    </w:p>
    <w:p>
      <w:pPr>
        <w:pStyle w:val="TextBody"/>
        <w:bidi w:val="0"/>
        <w:spacing w:before="240" w:after="0"/>
        <w:jc w:val="left"/>
        <w:rPr/>
      </w:pPr>
      <w:r>
        <w:rPr/>
        <w:t>“</w:t>
      </w:r>
      <w:r>
        <w:rPr>
          <w:rFonts w:ascii="Times New Roman" w:hAnsi="Times New Roman"/>
          <w:b/>
          <w:sz w:val="20"/>
        </w:rPr>
        <w:t>Daily Maximum Cash Amount</w:t>
      </w:r>
      <w:r>
        <w:rPr>
          <w:rFonts w:ascii="Times New Roman" w:hAnsi="Times New Roman"/>
          <w:sz w:val="20"/>
        </w:rPr>
        <w:t xml:space="preserve">” means, with respect to the Exchange of any Note, the quotient obtained by dividing (A) the Specified Dollar Amount applicable to such Exchange by (B) sixty (60). </w:t>
      </w:r>
    </w:p>
    <w:p>
      <w:pPr>
        <w:pStyle w:val="TextBody"/>
        <w:bidi w:val="0"/>
        <w:spacing w:before="240" w:after="0"/>
        <w:jc w:val="left"/>
        <w:rPr/>
      </w:pPr>
      <w:r>
        <w:rPr/>
        <w:t>“</w:t>
      </w:r>
      <w:r>
        <w:rPr>
          <w:rFonts w:ascii="Times New Roman" w:hAnsi="Times New Roman"/>
          <w:b/>
          <w:sz w:val="20"/>
        </w:rPr>
        <w:t>Daily Share Amount</w:t>
      </w:r>
      <w:r>
        <w:rPr>
          <w:rFonts w:ascii="Times New Roman" w:hAnsi="Times New Roman"/>
          <w:sz w:val="20"/>
        </w:rPr>
        <w:t xml:space="preserve">” means, with respect to any VWAP Trading Day, the quotient obtained by dividing (A) the excess, if any, of the Daily Exchange Value for such VWAP Trading Day over the applicable Daily Maximum Cash Amount by (B) the Daily VWAP for such VWAP Trading Day. For the avoidance of doubt, the Daily Share Amount will be zero for such VWAP Trading Day if such Daily Exchange Value does not exceed such Daily Maximum Cash Amount.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xml:space="preserve">” means, for any VWAP Trading Day, the per share volume-weighted average price of the Common Stock as displayed under the heading “Bloomberg VWAP” on Bloomberg page “PDM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passage of time or both, would be) an Event of Default. </w:t>
      </w:r>
    </w:p>
    <w:p>
      <w:pPr>
        <w:pStyle w:val="TextBody"/>
        <w:bidi w:val="0"/>
        <w:spacing w:before="240" w:after="0"/>
        <w:jc w:val="left"/>
        <w:rPr/>
      </w:pPr>
      <w:r>
        <w:rPr/>
        <w:t>“</w:t>
      </w:r>
      <w:r>
        <w:rPr>
          <w:rFonts w:ascii="Times New Roman" w:hAnsi="Times New Roman"/>
          <w:b/>
          <w:sz w:val="20"/>
        </w:rPr>
        <w:t>Default Settlement Method</w:t>
      </w:r>
      <w:r>
        <w:rPr>
          <w:rFonts w:ascii="Times New Roman" w:hAnsi="Times New Roman"/>
          <w:sz w:val="20"/>
        </w:rPr>
        <w:t xml:space="preserve">” means Combination Settlement with a Specified Dollar Amount of $1,000 per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5.03(A)(iii)</w:t>
      </w:r>
      <w:r>
        <w:rPr>
          <w:rFonts w:ascii="Times New Roman" w:hAnsi="Times New Roman"/>
          <w:sz w:val="20"/>
        </w:rPr>
        <w:t xml:space="preserve">, the Company may, from time to time, change the Default Settlement Method, to any Settlement Method that the Company is then permitted to elect, by delivering written notice of the new Default Settlement Method to the Holders, the Trustee and the Exchange Agent; and (y) the Default Settlement Method will be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The Depository Trust Company or its successor. </w:t>
      </w:r>
    </w:p>
    <w:p>
      <w:pPr>
        <w:pStyle w:val="TextBody"/>
        <w:bidi w:val="0"/>
        <w:spacing w:before="240" w:after="0"/>
        <w:jc w:val="left"/>
        <w:rPr/>
      </w:pPr>
      <w:r>
        <w:rPr/>
        <w:t>“</w:t>
      </w:r>
      <w:r>
        <w:rPr>
          <w:rFonts w:ascii="Times New Roman" w:hAnsi="Times New Roman"/>
          <w:b/>
          <w:sz w:val="20"/>
        </w:rPr>
        <w:t>Depositary Participant</w:t>
      </w:r>
      <w:r>
        <w:rPr>
          <w:rFonts w:ascii="Times New Roman" w:hAnsi="Times New Roman"/>
          <w:sz w:val="20"/>
        </w:rPr>
        <w:t xml:space="preserve">” means any member of, or participant in, the Depositary. </w:t>
      </w:r>
    </w:p>
    <w:p>
      <w:pPr>
        <w:pStyle w:val="TextBody"/>
        <w:bidi w:val="0"/>
        <w:spacing w:before="240" w:after="0"/>
        <w:jc w:val="left"/>
        <w:rPr/>
      </w:pPr>
      <w:r>
        <w:rPr/>
        <w:t>“</w:t>
      </w:r>
      <w:r>
        <w:rPr>
          <w:rFonts w:ascii="Times New Roman" w:hAnsi="Times New Roman"/>
          <w:b/>
          <w:sz w:val="20"/>
        </w:rPr>
        <w:t>Depositary Procedures</w:t>
      </w:r>
      <w:r>
        <w:rPr>
          <w:rFonts w:ascii="Times New Roman" w:hAnsi="Times New Roman"/>
          <w:sz w:val="20"/>
        </w:rPr>
        <w:t xml:space="preserve">” means, with respect to any Exchange, transfer, exchange or other transaction involving a Global Note or any beneficial interest therein, the rules and procedures of the Depositary applicable to such Exchange, transfer, exchange 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Ex-Dividend Date</w:t>
      </w:r>
      <w:r>
        <w:rPr>
          <w:rFonts w:ascii="Times New Roman" w:hAnsi="Times New Roman"/>
          <w:sz w:val="20"/>
        </w:rPr>
        <w:t xml:space="preserve">”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means, with respect to any Note, the exchange of such note pursuant to </w:t>
      </w:r>
      <w:r>
        <w:rPr>
          <w:rFonts w:ascii="Times New Roman" w:hAnsi="Times New Roman"/>
          <w:b/>
          <w:sz w:val="20"/>
        </w:rPr>
        <w:t>Article 5</w:t>
      </w:r>
      <w:r>
        <w:rPr>
          <w:rFonts w:ascii="Times New Roman" w:hAnsi="Times New Roman"/>
          <w:sz w:val="20"/>
        </w:rPr>
        <w:t xml:space="preserve"> into Exchange Consideration. The terms “Exchanged,” “Exchanging,” “Exchangeable” and similar capitalized terms have meanings correlative to the foregoing.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b/>
          <w:sz w:val="20"/>
        </w:rPr>
        <w:t>Exchange Date</w:t>
      </w:r>
      <w:r>
        <w:rPr>
          <w:rFonts w:ascii="Times New Roman" w:hAnsi="Times New Roman"/>
          <w:sz w:val="20"/>
        </w:rPr>
        <w:t xml:space="preserve">” means, with respect to a Note, the first Business Day on which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5.02(A) </w:t>
      </w:r>
      <w:r>
        <w:rPr>
          <w:rFonts w:ascii="Times New Roman" w:hAnsi="Times New Roman"/>
          <w:sz w:val="20"/>
        </w:rPr>
        <w:t xml:space="preserve">to Exchange such Note are satisfied. </w:t>
      </w:r>
    </w:p>
    <w:p>
      <w:pPr>
        <w:pStyle w:val="TextBody"/>
        <w:bidi w:val="0"/>
        <w:spacing w:before="240" w:after="0"/>
        <w:jc w:val="left"/>
        <w:rPr/>
      </w:pPr>
      <w:r>
        <w:rPr/>
        <w:t>“</w:t>
      </w:r>
      <w:r>
        <w:rPr>
          <w:rFonts w:ascii="Times New Roman" w:hAnsi="Times New Roman"/>
          <w:b/>
          <w:sz w:val="20"/>
        </w:rPr>
        <w:t>Exchange Price</w:t>
      </w:r>
      <w:r>
        <w:rPr>
          <w:rFonts w:ascii="Times New Roman" w:hAnsi="Times New Roman"/>
          <w:sz w:val="20"/>
        </w:rPr>
        <w:t xml:space="preserve">” means, as of any time, an amount equal to (A) one thousand dollars ($1,000) </w:t>
      </w:r>
      <w:r>
        <w:rPr>
          <w:rFonts w:ascii="Times New Roman" w:hAnsi="Times New Roman"/>
          <w:i/>
          <w:sz w:val="20"/>
        </w:rPr>
        <w:t>divided by</w:t>
      </w:r>
      <w:r>
        <w:rPr>
          <w:rFonts w:ascii="Times New Roman" w:hAnsi="Times New Roman"/>
          <w:sz w:val="20"/>
        </w:rPr>
        <w:t xml:space="preserve"> (B) the Exchange Rate in effect at such time. </w:t>
      </w:r>
    </w:p>
    <w:p>
      <w:pPr>
        <w:pStyle w:val="TextBody"/>
        <w:bidi w:val="0"/>
        <w:spacing w:before="240" w:after="0"/>
        <w:jc w:val="left"/>
        <w:rPr/>
      </w:pPr>
      <w:r>
        <w:rPr/>
        <w:t>“</w:t>
      </w:r>
      <w:r>
        <w:rPr>
          <w:rFonts w:ascii="Times New Roman" w:hAnsi="Times New Roman"/>
          <w:b/>
          <w:sz w:val="20"/>
        </w:rPr>
        <w:t>Exchange Rate</w:t>
      </w:r>
      <w:r>
        <w:rPr>
          <w:rFonts w:ascii="Times New Roman" w:hAnsi="Times New Roman"/>
          <w:sz w:val="20"/>
        </w:rPr>
        <w:t xml:space="preserve">” initially means 79.0514 shares of Common Stock per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Exchange Rate is subject to adjustment pursuant to </w:t>
      </w:r>
      <w:r>
        <w:rPr>
          <w:rFonts w:ascii="Times New Roman" w:hAnsi="Times New Roman"/>
          <w:b/>
          <w:sz w:val="20"/>
        </w:rPr>
        <w:t>Article 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whenever this Indenture refers to the Exchange Rate as of a particular date without setting forth a particular time on such date, such reference will be deemed to be to the Exchange Rate immediately after the Close of Business on such date. </w:t>
      </w:r>
    </w:p>
    <w:p>
      <w:pPr>
        <w:pStyle w:val="TextBody"/>
        <w:bidi w:val="0"/>
        <w:spacing w:before="240" w:after="0"/>
        <w:jc w:val="left"/>
        <w:rPr/>
      </w:pPr>
      <w:r>
        <w:rPr/>
        <w:t>“</w:t>
      </w:r>
      <w:r>
        <w:rPr>
          <w:rFonts w:ascii="Times New Roman" w:hAnsi="Times New Roman"/>
          <w:b/>
          <w:sz w:val="20"/>
        </w:rPr>
        <w:t>Exchange Share</w:t>
      </w:r>
      <w:r>
        <w:rPr>
          <w:rFonts w:ascii="Times New Roman" w:hAnsi="Times New Roman"/>
          <w:sz w:val="20"/>
        </w:rPr>
        <w:t xml:space="preserve">” means any share of Common Stock issued or issuable upon Exchange of any Note.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means any Fundamental Change with respect to which,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the Company does not offer to repurchase any Notes.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means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(A) a “person” or “group” (within the meaning of Section 13(d)(3) of the Exchange Act), other than the Company, the Parent Guarantor or their respective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the consummation of (i) any sale, lease or other transfer, in one transaction or a series of transactions, of all or substantially all of the assets of the Parent Guarantor and its Subsidiaries, taken as a whole, to any Person, other than solely to the Company or one or more of the Company’s or the Parent Guarantor’s respective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merger, consolidation, share exchange or combination of the Parent Guarantor pursuant to which the Persons that directly or indirectly “beneficially owned” (as defined below) all classes of the Parent Guarantor’s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hAnsi="Times New Roman"/>
          <w:b/>
          <w:sz w:val="20"/>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general partner (or the holders of the Company’s voting equity interests, if the Company’s successor, if any,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is not a limited partnership) or the Parent Guarantor’s stockholders approve any plan or proposal for the liquidation or dissolution of the Company or the Parent Guarantor;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Common Stock ceases to be listed on any of the New York Stock Exchange, the Nasdaq Global Market or the Nasdaq Global Select Market (or any of their respective successors);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event described in </w:t>
      </w:r>
      <w:r>
        <w:rPr>
          <w:rFonts w:ascii="Times New Roman" w:hAnsi="Times New Roman"/>
          <w:b/>
          <w:sz w:val="20"/>
        </w:rPr>
        <w:t>clause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definition, (x) any transaction or event described in both </w:t>
      </w:r>
      <w:r>
        <w:rPr>
          <w:rFonts w:ascii="Times New Roman" w:hAnsi="Times New Roman"/>
          <w:b/>
          <w:sz w:val="20"/>
        </w:rPr>
        <w:t>clause (A)</w:t>
      </w:r>
      <w:r>
        <w:rPr>
          <w:rFonts w:ascii="Times New Roman" w:hAnsi="Times New Roman"/>
          <w:sz w:val="20"/>
        </w:rPr>
        <w:t xml:space="preserve"> and in </w:t>
      </w:r>
      <w:r>
        <w:rPr>
          <w:rFonts w:ascii="Times New Roman" w:hAnsi="Times New Roman"/>
          <w:b/>
          <w:sz w:val="20"/>
        </w:rPr>
        <w:t>clause (B)(i)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above (without regard to the proviso in </w:t>
      </w:r>
      <w:r>
        <w:rPr>
          <w:rFonts w:ascii="Times New Roman" w:hAnsi="Times New Roman"/>
          <w:b/>
          <w:sz w:val="20"/>
        </w:rPr>
        <w:t>clause (B)</w:t>
      </w:r>
      <w:r>
        <w:rPr>
          <w:rFonts w:ascii="Times New Roman" w:hAnsi="Times New Roman"/>
          <w:sz w:val="20"/>
        </w:rPr>
        <w:t xml:space="preserve">) will be deemed to occur solely pursuant to </w:t>
      </w:r>
      <w:r>
        <w:rPr>
          <w:rFonts w:ascii="Times New Roman" w:hAnsi="Times New Roman"/>
          <w:b/>
          <w:sz w:val="20"/>
        </w:rPr>
        <w:t>clause (B)</w:t>
      </w:r>
      <w:r>
        <w:rPr>
          <w:rFonts w:ascii="Times New Roman" w:hAnsi="Times New Roman"/>
          <w:sz w:val="20"/>
        </w:rPr>
        <w:t> above (subject to such proviso); and (y) whether a Person is a “</w:t>
      </w:r>
      <w:r>
        <w:rPr>
          <w:rFonts w:ascii="Times New Roman" w:hAnsi="Times New Roman"/>
          <w:b/>
          <w:sz w:val="20"/>
        </w:rPr>
        <w:t>beneficial owner</w:t>
      </w:r>
      <w:r>
        <w:rPr>
          <w:rFonts w:ascii="Times New Roman" w:hAnsi="Times New Roman"/>
          <w:sz w:val="20"/>
        </w:rPr>
        <w:t>,” whether shares are “</w:t>
      </w:r>
      <w:r>
        <w:rPr>
          <w:rFonts w:ascii="Times New Roman" w:hAnsi="Times New Roman"/>
          <w:b/>
          <w:sz w:val="20"/>
        </w:rPr>
        <w:t>beneficially owned</w:t>
      </w:r>
      <w:r>
        <w:rPr>
          <w:rFonts w:ascii="Times New Roman" w:hAnsi="Times New Roman"/>
          <w:sz w:val="20"/>
        </w:rPr>
        <w:t xml:space="preserve">,” and percentage beneficial ownership, will be determined in accordance with Rule 13d-3 under the Exchange Act. </w:t>
      </w:r>
    </w:p>
    <w:p>
      <w:pPr>
        <w:pStyle w:val="TextBody"/>
        <w:bidi w:val="0"/>
        <w:spacing w:before="240" w:after="0"/>
        <w:jc w:val="left"/>
        <w:rPr/>
      </w:pPr>
      <w:r>
        <w:rPr/>
        <w:t>“</w:t>
      </w:r>
      <w:r>
        <w:rPr>
          <w:rFonts w:ascii="Times New Roman" w:hAnsi="Times New Roman"/>
          <w:b/>
          <w:sz w:val="20"/>
        </w:rPr>
        <w:t>Fundamental Change Repurchase Date</w:t>
      </w:r>
      <w:r>
        <w:rPr>
          <w:rFonts w:ascii="Times New Roman" w:hAnsi="Times New Roman"/>
          <w:sz w:val="20"/>
        </w:rPr>
        <w:t xml:space="preserve">” means the date fixed for the repurchase of any Notes by the Company pursuant to a Repurchase Upon Fundamental Change.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means a notice (including a notice substantially in the form of the “Fundamental Change Repurchase Notice” set forth in </w:t>
      </w:r>
      <w:r>
        <w:rPr>
          <w:rFonts w:ascii="Times New Roman" w:hAnsi="Times New Roman"/>
          <w:b/>
          <w:sz w:val="20"/>
        </w:rPr>
        <w:t>Exhibit A</w:t>
      </w:r>
      <w:r>
        <w:rPr>
          <w:rFonts w:ascii="Times New Roman" w:hAnsi="Times New Roman"/>
          <w:sz w:val="20"/>
        </w:rPr>
        <w:t xml:space="preserve">) containing the information, or otherwise complying with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4.02(F)(i)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4.02(F)(ii)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means the cash price payable by the Company to repurchase any Note upon its Repurchase Upon Fundamental Change,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means a Note that is represented by a certificate substantially in the form set forth in </w:t>
      </w:r>
      <w:r>
        <w:rPr>
          <w:rFonts w:ascii="Times New Roman" w:hAnsi="Times New Roman"/>
          <w:b/>
          <w:sz w:val="20"/>
        </w:rPr>
        <w:t>Exhibit A</w:t>
      </w:r>
      <w:r>
        <w:rPr>
          <w:rFonts w:ascii="Times New Roman" w:hAnsi="Times New Roman"/>
          <w:sz w:val="20"/>
        </w:rPr>
        <w:t xml:space="preserve">, registered in the name of the Depositary or its nominee, duly executed by the Company and authenticated by the Trustee, and deposited with the Trustee, as custodian for the Depositary. </w:t>
      </w:r>
    </w:p>
    <w:p>
      <w:pPr>
        <w:pStyle w:val="TextBody"/>
        <w:bidi w:val="0"/>
        <w:spacing w:before="240" w:after="0"/>
        <w:jc w:val="left"/>
        <w:rPr/>
      </w:pPr>
      <w:r>
        <w:rPr/>
        <w:t>“</w:t>
      </w:r>
      <w:r>
        <w:rPr>
          <w:rFonts w:ascii="Times New Roman" w:hAnsi="Times New Roman"/>
          <w:b/>
          <w:sz w:val="20"/>
        </w:rPr>
        <w:t>Global Note Legend</w:t>
      </w:r>
      <w:r>
        <w:rPr>
          <w:rFonts w:ascii="Times New Roman" w:hAnsi="Times New Roman"/>
          <w:sz w:val="20"/>
        </w:rPr>
        <w:t xml:space="preserve">” means a legend substantially in the form set forth in </w:t>
      </w:r>
      <w:r>
        <w:rPr>
          <w:rFonts w:ascii="Times New Roman" w:hAnsi="Times New Roman"/>
          <w:b/>
          <w:sz w:val="20"/>
        </w:rPr>
        <w:t>Exhibit 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the guarantee by the Parent Guarantor of the Company’s obligations under this Indenture and the Notes pursuant to </w:t>
      </w:r>
      <w:r>
        <w:rPr>
          <w:rFonts w:ascii="Times New Roman" w:hAnsi="Times New Roman"/>
          <w:b/>
          <w:sz w:val="20"/>
        </w:rPr>
        <w:t>Article 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Note is registered on the Registrar’s books.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b/>
          <w:sz w:val="20"/>
        </w:rPr>
        <w:t>Initial Purchasers</w:t>
      </w:r>
      <w:r>
        <w:rPr>
          <w:rFonts w:ascii="Times New Roman" w:hAnsi="Times New Roman"/>
          <w:sz w:val="20"/>
        </w:rPr>
        <w:t xml:space="preserve">” means the several initial purchasers listed in Schedule 1 to the Purchase Agreement.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with respect to a Note, each February 1 and August 1 of each year, commencing on February 1, 2027 (or commencing on such other date specified in the certificate representing such Note). For the avoidance of doubt, the Maturity Date is an Interest Payment Date.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means September 17, 2026. </w:t>
      </w:r>
    </w:p>
    <w:p>
      <w:pPr>
        <w:pStyle w:val="TextBody"/>
        <w:bidi w:val="0"/>
        <w:spacing w:before="240" w:after="0"/>
        <w:jc w:val="left"/>
        <w:rPr/>
      </w:pPr>
      <w:r>
        <w:rPr/>
        <w:t>“</w:t>
      </w:r>
      <w:r>
        <w:rPr>
          <w:rFonts w:ascii="Times New Roman" w:hAnsi="Times New Roman"/>
          <w:b/>
          <w:sz w:val="20"/>
        </w:rPr>
        <w:t>Last Date of Original Issuance</w:t>
      </w:r>
      <w:r>
        <w:rPr>
          <w:rFonts w:ascii="Times New Roman" w:hAnsi="Times New Roman"/>
          <w:sz w:val="20"/>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Section 2.03(B),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Last Reported Sale Price</w:t>
      </w:r>
      <w:r>
        <w:rPr>
          <w:rFonts w:ascii="Times New Roman" w:hAnsi="Times New Roman"/>
          <w:sz w:val="20"/>
        </w:rPr>
        <w:t xml:space="preserve">”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Exchange Agent will have any duty or obligation to determine and/or verify the Last Reported Sale Price. </w:t>
      </w:r>
    </w:p>
    <w:p>
      <w:pPr>
        <w:pStyle w:val="TextBody"/>
        <w:bidi w:val="0"/>
        <w:spacing w:before="240" w:after="0"/>
        <w:jc w:val="left"/>
        <w:rPr/>
      </w:pPr>
      <w:r>
        <w:rPr/>
        <w:t>“</w:t>
      </w:r>
      <w:r>
        <w:rPr>
          <w:rFonts w:ascii="Times New Roman" w:hAnsi="Times New Roman"/>
          <w:b/>
          <w:sz w:val="20"/>
        </w:rPr>
        <w:t>Liquidity Conditions</w:t>
      </w:r>
      <w:r>
        <w:rPr>
          <w:rFonts w:ascii="Times New Roman" w:hAnsi="Times New Roman"/>
          <w:sz w:val="20"/>
        </w:rPr>
        <w:t xml:space="preserve">” means, with respect to the Redemption of any Notes, that, as of the Redemption Notice Date for such Redemption, (A) no event has occurred and is continuing that would result in the accrual of Additional Interest on such Notes; (B) (if such Notes have the benefit of a Registration Rights Agreement) the “Issuers” (as defined in such Registration Rights Agreement) are not in breach of any of their respective obligations under such Registration Rights Agreement; and (C) the Resale Registration Statement for such Notes is (and is reasonably expected to continue to be through at least the thirtieth (30th) calendar day after the Redemption Date for such Redemption) effective under the Securities Act and available for use as contemplated by such Registration Rights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Liquidity Conditions will be deemed to be satisfied with respect to such Redemption if,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5.03(A)(i)(3)</w:t>
      </w:r>
      <w:r>
        <w:rPr>
          <w:rFonts w:ascii="Times New Roman" w:hAnsi="Times New Roman"/>
          <w:sz w:val="20"/>
        </w:rPr>
        <w:t xml:space="preserve">, the Company has elected to settle all Exchanges of Notes with an Exchange Date that occurs on or after such Redemption Notice Date and on or before the second (2nd) Business Day immediately before such Redemption Date by Cash Settlement;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clauses (A), (B) and (C) above will be deemed satisfied as of the related Redemption Notice Date if a 3(a)(9) Period is then in effect and, as of such date, is reasonably expected to continue through at least the 30th calendar day after the Redemption Date for such Redemption, solely to the extent that the applicable failure, breach or unavailability relates to the registration of, or the ability to resell pursuant to the Resale Registration Statement, securities that are not then Registrable Securities (as defined in the Registration Rights Agreement) by reason of such 3(a)(9) period. </w:t>
      </w:r>
    </w:p>
    <w:p>
      <w:pPr>
        <w:pStyle w:val="TextBody"/>
        <w:bidi w:val="0"/>
        <w:spacing w:before="240" w:after="0"/>
        <w:jc w:val="left"/>
        <w:rPr/>
      </w:pPr>
      <w:r>
        <w:rPr/>
        <w:t>“</w:t>
      </w:r>
      <w:r>
        <w:rPr>
          <w:rFonts w:ascii="Times New Roman" w:hAnsi="Times New Roman"/>
          <w:b/>
          <w:sz w:val="20"/>
        </w:rPr>
        <w:t>Make-Whole Fundamental Change</w:t>
      </w:r>
      <w:r>
        <w:rPr>
          <w:rFonts w:ascii="Times New Roman" w:hAnsi="Times New Roman"/>
          <w:sz w:val="20"/>
        </w:rPr>
        <w:t xml:space="preserve">” means (A) a Fundamental Change (determined after giving effect to the proviso immediately after </w:t>
      </w:r>
      <w:r>
        <w:rPr>
          <w:rFonts w:ascii="Times New Roman" w:hAnsi="Times New Roman"/>
          <w:b/>
          <w:sz w:val="20"/>
        </w:rPr>
        <w:t>clause (D)</w:t>
      </w:r>
      <w:r>
        <w:rPr>
          <w:rFonts w:ascii="Times New Roman" w:hAnsi="Times New Roman"/>
          <w:sz w:val="20"/>
        </w:rPr>
        <w:t xml:space="preserve"> of the definition thereof, but without regard to the proviso to </w:t>
      </w:r>
      <w:r>
        <w:rPr>
          <w:rFonts w:ascii="Times New Roman" w:hAnsi="Times New Roman"/>
          <w:b/>
          <w:sz w:val="20"/>
        </w:rPr>
        <w:t>clause (B)(ii)</w:t>
      </w:r>
      <w:r>
        <w:rPr>
          <w:rFonts w:ascii="Times New Roman" w:hAnsi="Times New Roman"/>
          <w:sz w:val="20"/>
        </w:rPr>
        <w:t xml:space="preserve"> of such definition); or (B) the sending of a Redemption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the sending of a Redemption Notice for a Provisional Redemption or a REIT Preservation Redemption will constitute a Make-Whole Fundamental Change only with respect to the Notes called (or deemed called) for Redemption pursuant to such Redemption Notice and not with respect to any other Notes. </w:t>
      </w:r>
    </w:p>
    <w:p>
      <w:pPr>
        <w:pStyle w:val="TextBody"/>
        <w:bidi w:val="0"/>
        <w:spacing w:before="240" w:after="0"/>
        <w:jc w:val="left"/>
        <w:rPr/>
      </w:pPr>
      <w:r>
        <w:rPr/>
        <w:t>“</w:t>
      </w:r>
      <w:r>
        <w:rPr>
          <w:rFonts w:ascii="Times New Roman" w:hAnsi="Times New Roman"/>
          <w:b/>
          <w:sz w:val="20"/>
        </w:rPr>
        <w:t>Make-Whole Fundamental Change Effective Date</w:t>
      </w:r>
      <w:r>
        <w:rPr>
          <w:rFonts w:ascii="Times New Roman" w:hAnsi="Times New Roman"/>
          <w:sz w:val="20"/>
        </w:rPr>
        <w:t xml:space="preserve">” means (A) with respect to a Make-Whole Fundamental Change pursuant to </w:t>
      </w:r>
      <w:r>
        <w:rPr>
          <w:rFonts w:ascii="Times New Roman" w:hAnsi="Times New Roman"/>
          <w:b/>
          <w:sz w:val="20"/>
        </w:rPr>
        <w:t>clause (A)</w:t>
      </w:r>
      <w:r>
        <w:rPr>
          <w:rFonts w:ascii="Times New Roman" w:hAnsi="Times New Roman"/>
          <w:sz w:val="20"/>
        </w:rPr>
        <w:t xml:space="preserve"> of the definition thereof, the date on which such Make-Whole Fundamental Change occurs or becomes effective; and (B) with respect to a Make-Whole Fundamental Change pursuant to </w:t>
      </w:r>
      <w:r>
        <w:rPr>
          <w:rFonts w:ascii="Times New Roman" w:hAnsi="Times New Roman"/>
          <w:b/>
          <w:sz w:val="20"/>
        </w:rPr>
        <w:t>clause (B)</w:t>
      </w:r>
      <w:r>
        <w:rPr>
          <w:rFonts w:ascii="Times New Roman" w:hAnsi="Times New Roman"/>
          <w:sz w:val="20"/>
        </w:rPr>
        <w:t xml:space="preserve"> of the definition thereof, the applicable Redemption Notice Date. </w:t>
      </w:r>
    </w:p>
    <w:p>
      <w:pPr>
        <w:pStyle w:val="TextBody"/>
        <w:bidi w:val="0"/>
        <w:spacing w:before="240" w:after="0"/>
        <w:jc w:val="left"/>
        <w:rPr/>
      </w:pPr>
      <w:r>
        <w:rPr/>
        <w:t>“</w:t>
      </w:r>
      <w:r>
        <w:rPr>
          <w:rFonts w:ascii="Times New Roman" w:hAnsi="Times New Roman"/>
          <w:b/>
          <w:sz w:val="20"/>
        </w:rPr>
        <w:t>Make-Whole Fundamental Change Exchange Period</w:t>
      </w:r>
      <w:r>
        <w:rPr>
          <w:rFonts w:ascii="Times New Roman" w:hAnsi="Times New Roman"/>
          <w:sz w:val="20"/>
        </w:rPr>
        <w:t xml:space="preserve">”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Make-Whole Fundamental Change pursuant to </w:t>
      </w:r>
      <w:r>
        <w:rPr>
          <w:rFonts w:ascii="Times New Roman" w:hAnsi="Times New Roman"/>
          <w:b/>
          <w:sz w:val="20"/>
        </w:rPr>
        <w:t>clause (A)</w:t>
      </w:r>
      <w:r>
        <w:rPr>
          <w:rFonts w:ascii="Times New Roman" w:hAnsi="Times New Roman"/>
          <w:sz w:val="20"/>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a Make-Whole Fundamental Change pursuant to </w:t>
      </w:r>
      <w:r>
        <w:rPr>
          <w:rFonts w:ascii="Times New Roman" w:hAnsi="Times New Roman"/>
          <w:b/>
          <w:sz w:val="20"/>
        </w:rPr>
        <w:t>clause (B)</w:t>
      </w:r>
      <w:r>
        <w:rPr>
          <w:rFonts w:ascii="Times New Roman" w:hAnsi="Times New Roman"/>
          <w:sz w:val="20"/>
        </w:rPr>
        <w:t xml:space="preserve"> of the definition thereof, the period from, and including, the Redemption Notice Date for the related Redemption to, and including, the second (2nd) Business Day immediately before the related Redemption Date;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Exchange Date for the Exchange of a Note that has been called for Redemption occurs during the Make-Whole Fundamental Change Exchange Period for both a Make-Whole Fundamental Change occurring pursuant to </w:t>
      </w:r>
      <w:r>
        <w:rPr>
          <w:rFonts w:ascii="Times New Roman" w:hAnsi="Times New Roman"/>
          <w:b/>
          <w:sz w:val="20"/>
        </w:rPr>
        <w:t>clause (A)</w:t>
      </w:r>
      <w:r>
        <w:rPr>
          <w:rFonts w:ascii="Times New Roman" w:hAnsi="Times New Roman"/>
          <w:sz w:val="20"/>
        </w:rPr>
        <w:t xml:space="preserve"> of the definition of “Make-Whole Fundamental Change” and a Make-Whole Fundamental Change resulting from such Redemption pursuant to </w:t>
      </w:r>
      <w:r>
        <w:rPr>
          <w:rFonts w:ascii="Times New Roman" w:hAnsi="Times New Roman"/>
          <w:b/>
          <w:sz w:val="20"/>
        </w:rPr>
        <w:t>clause (B)</w:t>
      </w:r>
      <w:r>
        <w:rPr>
          <w:rFonts w:ascii="Times New Roman" w:hAnsi="Times New Roman"/>
          <w:sz w:val="20"/>
        </w:rPr>
        <w:t xml:space="preserve"> of such definition,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solely for purposes of such Exchange, (x) such Exchange Date will be deemed to occur solely during the Make-Whole Fundamental Change Exchange Period for the Make-Whole Fundamental Change with the earlier Make-Whole Fundamental Change Effective Date; and (y) the Make-Whole Fundamental Change with the later Make-Whole Fundamental Change Effective Date will be deemed not to have occurred.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February 1, 2031. </w:t>
      </w:r>
    </w:p>
    <w:p>
      <w:pPr>
        <w:pStyle w:val="TextBody"/>
        <w:bidi w:val="0"/>
        <w:spacing w:before="240" w:after="0"/>
        <w:jc w:val="left"/>
        <w:rPr/>
      </w:pPr>
      <w:r>
        <w:rPr/>
        <w:t>“</w:t>
      </w:r>
      <w:r>
        <w:rPr>
          <w:rFonts w:ascii="Times New Roman" w:hAnsi="Times New Roman"/>
          <w:b/>
          <w:sz w:val="20"/>
        </w:rPr>
        <w:t>Non-Affiliate Legend</w:t>
      </w:r>
      <w:r>
        <w:rPr>
          <w:rFonts w:ascii="Times New Roman" w:hAnsi="Times New Roman"/>
          <w:sz w:val="20"/>
        </w:rPr>
        <w:t xml:space="preserve">” means a legend substantially in the form set forth in </w:t>
      </w:r>
      <w:r>
        <w:rPr>
          <w:rFonts w:ascii="Times New Roman" w:hAnsi="Times New Roman"/>
          <w:b/>
          <w:sz w:val="20"/>
        </w:rPr>
        <w:t>Exhibit 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Note Agent</w:t>
      </w:r>
      <w:r>
        <w:rPr>
          <w:rFonts w:ascii="Times New Roman" w:hAnsi="Times New Roman"/>
          <w:sz w:val="20"/>
        </w:rPr>
        <w:t xml:space="preserve">” means any Registrar, Paying Agent or Exchange Agent.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the 2.875% Exchangeable Senior Notes due 2031 issued by the Company pursuant to this Indenture. </w:t>
      </w:r>
    </w:p>
    <w:p>
      <w:pPr>
        <w:pStyle w:val="TextBody"/>
        <w:bidi w:val="0"/>
        <w:spacing w:before="240" w:after="0"/>
        <w:jc w:val="left"/>
        <w:rPr/>
      </w:pPr>
      <w:r>
        <w:rPr/>
        <w:t>“</w:t>
      </w:r>
      <w:r>
        <w:rPr>
          <w:rFonts w:ascii="Times New Roman" w:hAnsi="Times New Roman"/>
          <w:b/>
          <w:sz w:val="20"/>
        </w:rPr>
        <w:t>Notice and Questionnaire</w:t>
      </w:r>
      <w:r>
        <w:rPr>
          <w:rFonts w:ascii="Times New Roman" w:hAnsi="Times New Roman"/>
          <w:sz w:val="20"/>
        </w:rPr>
        <w:t xml:space="preserve">” has the meaning set forth in the applicable Registration Rights Agreement (subject to any limitations set forth in such Registration Rights Agreement that apply to the application of such definition for purposes of this Indenture). </w:t>
      </w:r>
    </w:p>
    <w:p>
      <w:pPr>
        <w:pStyle w:val="TextBody"/>
        <w:bidi w:val="0"/>
        <w:spacing w:before="240" w:after="0"/>
        <w:jc w:val="left"/>
        <w:rPr/>
      </w:pPr>
      <w:r>
        <w:rPr/>
        <w:t>“</w:t>
      </w:r>
      <w:r>
        <w:rPr>
          <w:rFonts w:ascii="Times New Roman" w:hAnsi="Times New Roman"/>
          <w:b/>
          <w:sz w:val="20"/>
        </w:rPr>
        <w:t>Notice Holder</w:t>
      </w:r>
      <w:r>
        <w:rPr>
          <w:rFonts w:ascii="Times New Roman" w:hAnsi="Times New Roman"/>
          <w:sz w:val="20"/>
        </w:rPr>
        <w:t xml:space="preserve">” has the meaning set forth in the applicable Registration Rights Agreement. </w:t>
      </w:r>
    </w:p>
    <w:p>
      <w:pPr>
        <w:pStyle w:val="TextBody"/>
        <w:bidi w:val="0"/>
        <w:spacing w:before="240" w:after="0"/>
        <w:jc w:val="left"/>
        <w:rPr/>
      </w:pPr>
      <w:r>
        <w:rPr/>
        <w:t>“</w:t>
      </w:r>
      <w:r>
        <w:rPr>
          <w:rFonts w:ascii="Times New Roman" w:hAnsi="Times New Roman"/>
          <w:b/>
          <w:sz w:val="20"/>
        </w:rPr>
        <w:t>Observation Period</w:t>
      </w:r>
      <w:r>
        <w:rPr>
          <w:rFonts w:ascii="Times New Roman" w:hAnsi="Times New Roman"/>
          <w:sz w:val="20"/>
        </w:rPr>
        <w:t xml:space="preserve">” means, with respect to any Note to be Exchanged, (A) subject to </w:t>
      </w:r>
      <w:r>
        <w:rPr>
          <w:rFonts w:ascii="Times New Roman" w:hAnsi="Times New Roman"/>
          <w:b/>
          <w:sz w:val="20"/>
        </w:rPr>
        <w:t>clause (B)</w:t>
      </w:r>
      <w:r>
        <w:rPr>
          <w:rFonts w:ascii="Times New Roman" w:hAnsi="Times New Roman"/>
          <w:sz w:val="20"/>
        </w:rPr>
        <w:t xml:space="preserve"> below, if the Exchange Date for such Note occurs before November 1, 2030, the sixty (60) consecutive VWAP Trading Days beginning on, and including, the second (2nd) VWAP Trading Day immediately after such Exchange Date; (B) if such Exchange Date occurs on or after the date the Company has sent a Redemption Notice calling all or any Notes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and on or before the second (2nd) Business Day before the related Redemption Date, the sixty (60) consecutive VWAP Trading Days beginning on, and including, the sixty-first (61st) Scheduled Trading Day immediately before such Redemption Date; and (C) subject to </w:t>
      </w:r>
      <w:r>
        <w:rPr>
          <w:rFonts w:ascii="Times New Roman" w:hAnsi="Times New Roman"/>
          <w:b/>
          <w:sz w:val="20"/>
        </w:rPr>
        <w:t>clause (B)</w:t>
      </w:r>
      <w:r>
        <w:rPr>
          <w:rFonts w:ascii="Times New Roman" w:hAnsi="Times New Roman"/>
          <w:sz w:val="20"/>
        </w:rPr>
        <w:t xml:space="preserve"> above, if such Exchange Date occurs on or after November 1, 2030, the sixty (60) consecutive VWAP Trading Days beginning on, and including, the sixty-first (61st) Scheduled Trading Day immediately before the Maturity Date.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the Chairman of the Board of Directors, the Chief Executive Officer, the President, the Chief Operating Officer, the Chief Financial Officer, the Treasurer, any Assistant Treasurer, the Controller, the Secretary or any Vice-President of the Company.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that is signed on behalf of the Company by one (1) of its Officers and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Opinion of Counsel</w:t>
      </w:r>
      <w:r>
        <w:rPr>
          <w:rFonts w:ascii="Times New Roman" w:hAnsi="Times New Roman"/>
          <w:sz w:val="20"/>
        </w:rPr>
        <w:t xml:space="preserve">” means an opinion, from legal counsel (including an employee of, or counsel to, the Company or any of its Subsidiaries) reasonably acceptable to the Trustee, that meets the requirements of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subject to customary qualifications and exclusions. </w:t>
      </w:r>
    </w:p>
    <w:p>
      <w:pPr>
        <w:pStyle w:val="TextBody"/>
        <w:bidi w:val="0"/>
        <w:spacing w:before="240" w:after="0"/>
        <w:jc w:val="left"/>
        <w:rPr/>
      </w:pPr>
      <w:r>
        <w:rPr/>
        <w:t>“</w:t>
      </w:r>
      <w:r>
        <w:rPr>
          <w:rFonts w:ascii="Times New Roman" w:hAnsi="Times New Roman"/>
          <w:b/>
          <w:sz w:val="20"/>
        </w:rPr>
        <w:t>Ownership Limit</w:t>
      </w:r>
      <w:r>
        <w:rPr>
          <w:rFonts w:ascii="Times New Roman" w:hAnsi="Times New Roman"/>
          <w:sz w:val="20"/>
        </w:rPr>
        <w:t xml:space="preserve">” has the meaning assigned to “Common Share Ownership Limit” set forth in the Parent Guarantor Charter. </w:t>
      </w:r>
    </w:p>
    <w:p>
      <w:pPr>
        <w:pStyle w:val="TextBody"/>
        <w:bidi w:val="0"/>
        <w:spacing w:before="240" w:after="0"/>
        <w:jc w:val="left"/>
        <w:rPr/>
      </w:pPr>
      <w:r>
        <w:rPr/>
        <w:t>“</w:t>
      </w:r>
      <w:r>
        <w:rPr>
          <w:rFonts w:ascii="Times New Roman" w:hAnsi="Times New Roman"/>
          <w:b/>
          <w:sz w:val="20"/>
        </w:rPr>
        <w:t>Parent Guarantor</w:t>
      </w:r>
      <w:r>
        <w:rPr>
          <w:rFonts w:ascii="Times New Roman" w:hAnsi="Times New Roman"/>
          <w:sz w:val="20"/>
        </w:rPr>
        <w:t xml:space="preserve">” means the Person named as such in the first paragraph of this Indenture and, subject to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the successors and assigns of such Person. </w:t>
      </w:r>
    </w:p>
    <w:p>
      <w:pPr>
        <w:pStyle w:val="TextBody"/>
        <w:bidi w:val="0"/>
        <w:spacing w:before="240" w:after="0"/>
        <w:jc w:val="left"/>
        <w:rPr/>
      </w:pPr>
      <w:r>
        <w:rPr/>
        <w:t>“</w:t>
      </w:r>
      <w:r>
        <w:rPr>
          <w:rFonts w:ascii="Times New Roman" w:hAnsi="Times New Roman"/>
          <w:b/>
          <w:sz w:val="20"/>
        </w:rPr>
        <w:t>Parent Guarantor Charter</w:t>
      </w:r>
      <w:r>
        <w:rPr>
          <w:rFonts w:ascii="Times New Roman" w:hAnsi="Times New Roman"/>
          <w:sz w:val="20"/>
        </w:rPr>
        <w:t xml:space="preserve">” means the charter of the Parent Guarantor as the same may be amended, restated or supplemented from time to time.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 </w:t>
      </w:r>
    </w:p>
    <w:p>
      <w:pPr>
        <w:pStyle w:val="TextBody"/>
        <w:bidi w:val="0"/>
        <w:spacing w:before="240" w:after="0"/>
        <w:jc w:val="left"/>
        <w:rPr/>
      </w:pPr>
      <w:r>
        <w:rPr/>
        <w:t>“</w:t>
      </w:r>
      <w:r>
        <w:rPr>
          <w:rFonts w:ascii="Times New Roman" w:hAnsi="Times New Roman"/>
          <w:b/>
          <w:sz w:val="20"/>
        </w:rPr>
        <w:t>Physical Note</w:t>
      </w:r>
      <w:r>
        <w:rPr>
          <w:rFonts w:ascii="Times New Roman" w:hAnsi="Times New Roman"/>
          <w:sz w:val="20"/>
        </w:rPr>
        <w:t xml:space="preserve">” means a Note (other than a Global Note) that is represented by a certificate substantially in the form set forth in </w:t>
      </w:r>
      <w:r>
        <w:rPr>
          <w:rFonts w:ascii="Times New Roman" w:hAnsi="Times New Roman"/>
          <w:b/>
          <w:sz w:val="20"/>
        </w:rPr>
        <w:t>Exhibit A</w:t>
      </w:r>
      <w:r>
        <w:rPr>
          <w:rFonts w:ascii="Times New Roman" w:hAnsi="Times New Roman"/>
          <w:sz w:val="20"/>
        </w:rPr>
        <w:t xml:space="preserve">, registered in the name of the Holder of such Note and duly executed by the Company and authenticated by the Trustee. </w:t>
      </w:r>
    </w:p>
    <w:p>
      <w:pPr>
        <w:pStyle w:val="TextBody"/>
        <w:bidi w:val="0"/>
        <w:spacing w:before="240" w:after="0"/>
        <w:jc w:val="left"/>
        <w:rPr/>
      </w:pPr>
      <w:r>
        <w:rPr/>
        <w:t>“</w:t>
      </w:r>
      <w:r>
        <w:rPr>
          <w:rFonts w:ascii="Times New Roman" w:hAnsi="Times New Roman"/>
          <w:b/>
          <w:sz w:val="20"/>
        </w:rPr>
        <w:t>Provisional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September 14, 2026, among the Company, the Parent Guarantor and the representatives of the Initial Purchasers. </w:t>
      </w:r>
    </w:p>
    <w:p>
      <w:pPr>
        <w:pStyle w:val="TextBody"/>
        <w:bidi w:val="0"/>
        <w:spacing w:before="240" w:after="0"/>
        <w:jc w:val="left"/>
        <w:rPr/>
      </w:pPr>
      <w:r>
        <w:rPr/>
        <w:t>“</w:t>
      </w:r>
      <w:r>
        <w:rPr>
          <w:rFonts w:ascii="Times New Roman" w:hAnsi="Times New Roman"/>
          <w:b/>
          <w:sz w:val="20"/>
        </w:rPr>
        <w:t>Qualified Successor Entity</w:t>
      </w:r>
      <w:r>
        <w:rPr>
          <w:rFonts w:ascii="Times New Roman" w:hAnsi="Times New Roman"/>
          <w:sz w:val="20"/>
        </w:rPr>
        <w:t xml:space="preserve">” means, with respect to a Parent Guarantor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limited liability company, limited partnership or other similar entity will also constitute a Qualified Successor Entity with respect to such Parent Guarantor Business Combination Event if either (A) such Parent Guarantor Business Combination Event is an Exempted Fundamental Change; (B) such Parent Guarantor Business Combination Event constitutes a Common Stock Change Event whose Reference Property consists solely of any combination of cash in U.S.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the direct or indirect parent of such limited liability company, limited partnership or other similar entity; or (C) both of the following conditions are satisfied: (i) such Parent Guarantor Business Combination Event does not constitute a Common Stock Change Event; and (ii) the Parent Guarantor (x) is not released from its obligations under its Guarantee following such Parent Guarantor Business Combination Event; and (y) is the direct or indirect parent of such limited liability company, limited partnership or other similar entity. </w:t>
      </w:r>
    </w:p>
    <w:p>
      <w:pPr>
        <w:pStyle w:val="TextBody"/>
        <w:bidi w:val="0"/>
        <w:spacing w:before="240" w:after="0"/>
        <w:jc w:val="left"/>
        <w:rPr/>
      </w:pPr>
      <w:r>
        <w:rPr/>
        <w:t>“</w:t>
      </w:r>
      <w:r>
        <w:rPr>
          <w:rFonts w:ascii="Times New Roman" w:hAnsi="Times New Roman"/>
          <w:b/>
          <w:sz w:val="20"/>
        </w:rPr>
        <w:t>Redemption</w:t>
      </w:r>
      <w:r>
        <w:rPr>
          <w:rFonts w:ascii="Times New Roman" w:hAnsi="Times New Roman"/>
          <w:sz w:val="20"/>
        </w:rPr>
        <w:t xml:space="preserve">” means a Provisional Redemption, Cleanup Redemption or a REIT Preservation Redemption.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means the date fixed,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4.03(G)</w:t>
      </w:r>
      <w:r>
        <w:rPr>
          <w:rFonts w:ascii="Times New Roman" w:hAnsi="Times New Roman"/>
          <w:sz w:val="20"/>
        </w:rPr>
        <w:t xml:space="preserve">, for the settlement of the repurchase of any Notes by the Company pursuant to a Redemption.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means, with respect to a Redemption, the date on which the Company sends the Redemption Notice for such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the cash price payable by the Company to redeem any Note upon its Redemption, calculated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Default Event</w:t>
      </w:r>
      <w:r>
        <w:rPr>
          <w:rFonts w:ascii="Times New Roman" w:hAnsi="Times New Roman"/>
          <w:sz w:val="20"/>
        </w:rPr>
        <w:t xml:space="preserve">” has the meaning set forth in the applicable Registration Rights Agreement (subject to any limitations set forth in such Registration Rights Agreement that apply to the application of such definition for purposes of this Indenture). For the avoidance of doubt, no Registration Default Event will be deemed to occur with respect to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with respect to which no Registration Rights Agreement has been executed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Registration Rights Agreement</w:t>
      </w:r>
      <w:r>
        <w:rPr>
          <w:rFonts w:ascii="Times New Roman" w:hAnsi="Times New Roman"/>
          <w:sz w:val="20"/>
        </w:rPr>
        <w:t xml:space="preserve">” means (A) with respect to any Notes issued pursuant to the Purchase Agreement (including any Notes issued pursuant to the exercise of the Shoe Option by the Initial Purchasers), and any Notes issued in exchange therefor or in substitution thereof, that certain Registration Rights Agreement, dated as of September 17, 2026, among the Company, the Parent Guarantor and the representatives of the Initial Purchasers, as the same may be amended or supplemented from time to time; and (B) with respect to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any Notes issued in exchange therefor or in substitution thereof, the registration rights agreement, if any, executed and delivered by the Company relating to such Notes.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has the following meaning with respect to an Interest Payment Date: (A) if such Interest Payment Date occurs on February 1, the immediately preceding January 15; and (B) if such Interest Payment Date occurs on August 1, the immediately preceding July 15. </w:t>
      </w:r>
    </w:p>
    <w:p>
      <w:pPr>
        <w:pStyle w:val="TextBody"/>
        <w:bidi w:val="0"/>
        <w:spacing w:before="240" w:after="0"/>
        <w:jc w:val="left"/>
        <w:rPr/>
      </w:pPr>
      <w:r>
        <w:rPr/>
        <w:t>“</w:t>
      </w:r>
      <w:r>
        <w:rPr>
          <w:rFonts w:ascii="Times New Roman" w:hAnsi="Times New Roman"/>
          <w:b/>
          <w:sz w:val="20"/>
        </w:rPr>
        <w:t>REIT Preservation Redemption</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Repurchase Upon Fundamental Change</w:t>
      </w:r>
      <w:r>
        <w:rPr>
          <w:rFonts w:ascii="Times New Roman" w:hAnsi="Times New Roman"/>
          <w:sz w:val="20"/>
        </w:rPr>
        <w:t xml:space="preserve">” means the repurchase of any Note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Resale Registration Statement</w:t>
      </w:r>
      <w:r>
        <w:rPr>
          <w:rFonts w:ascii="Times New Roman" w:hAnsi="Times New Roman"/>
          <w:sz w:val="20"/>
        </w:rPr>
        <w:t xml:space="preserve">” has the meaning set forth in the applicable Registration Rights Agreement.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 </w:t>
      </w:r>
    </w:p>
    <w:p>
      <w:pPr>
        <w:pStyle w:val="TextBody"/>
        <w:bidi w:val="0"/>
        <w:spacing w:before="240" w:after="0"/>
        <w:jc w:val="left"/>
        <w:rPr/>
      </w:pPr>
      <w:r>
        <w:rPr/>
        <w:t>“</w:t>
      </w:r>
      <w:r>
        <w:rPr>
          <w:rFonts w:ascii="Times New Roman" w:hAnsi="Times New Roman"/>
          <w:b/>
          <w:sz w:val="20"/>
        </w:rPr>
        <w:t>Restricted Note Legend</w:t>
      </w:r>
      <w:r>
        <w:rPr>
          <w:rFonts w:ascii="Times New Roman" w:hAnsi="Times New Roman"/>
          <w:sz w:val="20"/>
        </w:rPr>
        <w:t xml:space="preserve">” means a legend substantially in the form set forth in </w:t>
      </w:r>
      <w:r>
        <w:rPr>
          <w:rFonts w:ascii="Times New Roman" w:hAnsi="Times New Roman"/>
          <w:b/>
          <w:sz w:val="20"/>
        </w:rPr>
        <w:t>Exhibit B-1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Stock Legend</w:t>
      </w:r>
      <w:r>
        <w:rPr>
          <w:rFonts w:ascii="Times New Roman" w:hAnsi="Times New Roman"/>
          <w:sz w:val="20"/>
        </w:rPr>
        <w:t xml:space="preserve">” means, with respect to any Exchange Share, a legend substantially to the effect that the offer and sale of such Exchange Share have not been registered under the Securities Act and that such Exchange Share cannot be sold or otherwise transferred except pursuant to a transaction that is registered under the Securities Act or that is exempt from, or not subject to, the registration requirements of the Securities Act.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Rule 144A</w:t>
      </w:r>
      <w:r>
        <w:rPr>
          <w:rFonts w:ascii="Times New Roman" w:hAnsi="Times New Roman"/>
          <w:sz w:val="20"/>
        </w:rPr>
        <w:t xml:space="preserve">” means Rule 144A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Rule 501</w:t>
      </w:r>
      <w:r>
        <w:rPr>
          <w:rFonts w:ascii="Times New Roman" w:hAnsi="Times New Roman"/>
          <w:sz w:val="20"/>
        </w:rPr>
        <w:t xml:space="preserve">” means Rule 501 of Regulation D under the Securities Act (or any successor rule thereto), as the same may be amended from time to time.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xml:space="preserve">”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Security</w:t>
      </w:r>
      <w:r>
        <w:rPr>
          <w:rFonts w:ascii="Times New Roman" w:hAnsi="Times New Roman"/>
          <w:sz w:val="20"/>
        </w:rPr>
        <w:t xml:space="preserve">” means any Note or Exchange Share. </w:t>
      </w:r>
    </w:p>
    <w:p>
      <w:pPr>
        <w:pStyle w:val="TextBody"/>
        <w:bidi w:val="0"/>
        <w:spacing w:before="240" w:after="0"/>
        <w:jc w:val="left"/>
        <w:rPr/>
      </w:pPr>
      <w:r>
        <w:rPr/>
        <w:t>“</w:t>
      </w:r>
      <w:r>
        <w:rPr>
          <w:rFonts w:ascii="Times New Roman" w:hAnsi="Times New Roman"/>
          <w:b/>
          <w:sz w:val="20"/>
        </w:rPr>
        <w:t>Settlement Method</w:t>
      </w:r>
      <w:r>
        <w:rPr>
          <w:rFonts w:ascii="Times New Roman" w:hAnsi="Times New Roman"/>
          <w:sz w:val="20"/>
        </w:rPr>
        <w:t xml:space="preserve">” means Cash Settlement or Combination Settlement. </w:t>
      </w:r>
    </w:p>
    <w:p>
      <w:pPr>
        <w:pStyle w:val="TextBody"/>
        <w:bidi w:val="0"/>
        <w:spacing w:before="240" w:after="0"/>
        <w:jc w:val="left"/>
        <w:rPr/>
      </w:pPr>
      <w:r>
        <w:rPr/>
        <w:t>“</w:t>
      </w:r>
      <w:r>
        <w:rPr>
          <w:rFonts w:ascii="Times New Roman" w:hAnsi="Times New Roman"/>
          <w:b/>
          <w:sz w:val="20"/>
        </w:rPr>
        <w:t>Shoe Option</w:t>
      </w:r>
      <w:r>
        <w:rPr>
          <w:rFonts w:ascii="Times New Roman" w:hAnsi="Times New Roman"/>
          <w:sz w:val="20"/>
        </w:rPr>
        <w:t xml:space="preserve">” means the Initial Purchasers’ option to purchase up to thirty million dollars ($30,000,000) aggregate principal amount of additional Notes as provided for in the Purchase Agreement.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with respect to any Person, any Subsidiary of such Person that constitutes a “significant subsidiary” (as defined in Rule 1-02(w) of Regulation S-X under the Exchange Act) of such Person. </w:t>
      </w:r>
    </w:p>
    <w:p>
      <w:pPr>
        <w:pStyle w:val="TextBody"/>
        <w:bidi w:val="0"/>
        <w:spacing w:before="240" w:after="0"/>
        <w:jc w:val="left"/>
        <w:rPr/>
      </w:pPr>
      <w:r>
        <w:rPr/>
        <w:t>“</w:t>
      </w:r>
      <w:r>
        <w:rPr>
          <w:rFonts w:ascii="Times New Roman" w:hAnsi="Times New Roman"/>
          <w:b/>
          <w:sz w:val="20"/>
        </w:rPr>
        <w:t>Special Interest</w:t>
      </w:r>
      <w:r>
        <w:rPr>
          <w:rFonts w:ascii="Times New Roman" w:hAnsi="Times New Roman"/>
          <w:sz w:val="20"/>
        </w:rPr>
        <w:t xml:space="preserve">” means any interest that accrues on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Dollar Amount</w:t>
      </w:r>
      <w:r>
        <w:rPr>
          <w:rFonts w:ascii="Times New Roman" w:hAnsi="Times New Roman"/>
          <w:sz w:val="20"/>
        </w:rPr>
        <w:t xml:space="preserve">” means, with respect to the Exchange of a Note to which Combination Settlement applies, the maximum cash amount per $1,000 principal amount of such Note deliverable upon such Exchange (excluding cash in lieu of any fractional share of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the Specified Dollar Amount be less than $1,000 per $1,000 principal amount of such Note. </w:t>
      </w:r>
    </w:p>
    <w:p>
      <w:pPr>
        <w:pStyle w:val="TextBody"/>
        <w:bidi w:val="0"/>
        <w:spacing w:before="240" w:after="0"/>
        <w:jc w:val="left"/>
        <w:rPr/>
      </w:pPr>
      <w:r>
        <w:rPr/>
        <w:t>“</w:t>
      </w:r>
      <w:r>
        <w:rPr>
          <w:rFonts w:ascii="Times New Roman" w:hAnsi="Times New Roman"/>
          <w:b/>
          <w:sz w:val="20"/>
        </w:rPr>
        <w:t>Stock Price</w:t>
      </w:r>
      <w:r>
        <w:rPr>
          <w:rFonts w:ascii="Times New Roman" w:hAnsi="Times New Roman"/>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hAnsi="Times New Roman"/>
          <w:b/>
          <w:sz w:val="20"/>
        </w:rPr>
        <w:t>clause (B)</w:t>
      </w:r>
      <w:r>
        <w:rPr>
          <w:rFonts w:ascii="Times New Roman" w:hAnsi="Times New Roman"/>
          <w:sz w:val="20"/>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 </w:t>
      </w:r>
    </w:p>
    <w:p>
      <w:pPr>
        <w:pStyle w:val="TextBody"/>
        <w:bidi w:val="0"/>
        <w:spacing w:before="240" w:after="0"/>
        <w:jc w:val="left"/>
        <w:rPr/>
      </w:pPr>
      <w:r>
        <w:rPr/>
        <w:t>“</w:t>
      </w:r>
      <w:r>
        <w:rPr>
          <w:rFonts w:ascii="Times New Roman" w:hAnsi="Times New Roman"/>
          <w:b/>
          <w:sz w:val="20"/>
        </w:rPr>
        <w:t>Trading Price</w:t>
      </w:r>
      <w:r>
        <w:rPr>
          <w:rFonts w:ascii="Times New Roman" w:hAnsi="Times New Roman"/>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Exchange Rate on such Trading Day. </w:t>
      </w:r>
    </w:p>
    <w:p>
      <w:pPr>
        <w:pStyle w:val="TextBody"/>
        <w:bidi w:val="0"/>
        <w:spacing w:before="240" w:after="0"/>
        <w:jc w:val="left"/>
        <w:rPr/>
      </w:pPr>
      <w:r>
        <w:rPr/>
        <w:t>“</w:t>
      </w:r>
      <w:r>
        <w:rPr>
          <w:rFonts w:ascii="Times New Roman" w:hAnsi="Times New Roman"/>
          <w:b/>
          <w:sz w:val="20"/>
        </w:rPr>
        <w:t>Transfer-Restricted Security</w:t>
      </w:r>
      <w:r>
        <w:rPr>
          <w:rFonts w:ascii="Times New Roman" w:hAnsi="Times New Roman"/>
          <w:sz w:val="20"/>
        </w:rPr>
        <w:t xml:space="preserve">” means any Security that constitutes a “restricted security” (as defined in Rule 144);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Security will cease to be a Transfer-Restricted Security upon the earliest to occur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such Security is sold or otherwise transferred to a Person (other than the Company or an Affiliate of the Company) pursuant to a registration statement that was effective under the Securities Act at the time of such sale or transfer; </w:t>
      </w:r>
    </w:p>
    <w:p>
      <w:pPr>
        <w:pStyle w:val="TextBody"/>
        <w:bidi w:val="0"/>
        <w:spacing w:before="240" w:after="0"/>
        <w:jc w:val="left"/>
        <w:rPr>
          <w:rFonts w:ascii="Times New Roman" w:hAnsi="Times New Roman"/>
          <w:sz w:val="20"/>
        </w:rPr>
      </w:pPr>
      <w:r>
        <w:rPr>
          <w:rFonts w:ascii="Times New Roman" w:hAnsi="Times New Roman"/>
          <w:sz w:val="20"/>
        </w:rPr>
        <w:t xml:space="preserve">(B) 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 </w:t>
      </w:r>
    </w:p>
    <w:p>
      <w:pPr>
        <w:pStyle w:val="TextBody"/>
        <w:bidi w:val="0"/>
        <w:spacing w:before="240" w:after="0"/>
        <w:jc w:val="left"/>
        <w:rPr>
          <w:rFonts w:ascii="Times New Roman" w:hAnsi="Times New Roman"/>
          <w:sz w:val="20"/>
        </w:rPr>
      </w:pPr>
      <w:r>
        <w:rPr>
          <w:rFonts w:ascii="Times New Roman" w:hAnsi="Times New Roman"/>
          <w:sz w:val="20"/>
        </w:rPr>
        <w:t xml:space="preserve">(C)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under no obligation to determine whether any Security is a Transfer-Restricted Security and may conclusively rely on an Officer’s Certificate with respect thereto.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U.S. Trust Indenture Act of 1939, as amended.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means the Person named as such in the first paragraph of this Indenture until a successor replaces it in accordance with the provisions of this Indenture and, thereafter, means such successor. </w:t>
      </w:r>
    </w:p>
    <w:p>
      <w:pPr>
        <w:pStyle w:val="TextBody"/>
        <w:bidi w:val="0"/>
        <w:spacing w:before="240" w:after="0"/>
        <w:jc w:val="left"/>
        <w:rPr/>
      </w:pPr>
      <w:r>
        <w:rPr/>
        <w:t>“</w:t>
      </w:r>
      <w:r>
        <w:rPr>
          <w:rFonts w:ascii="Times New Roman" w:hAnsi="Times New Roman"/>
          <w:b/>
          <w:sz w:val="20"/>
        </w:rPr>
        <w:t>Underlying Security</w:t>
      </w:r>
      <w:r>
        <w:rPr>
          <w:rFonts w:ascii="Times New Roman" w:hAnsi="Times New Roman"/>
          <w:sz w:val="20"/>
        </w:rPr>
        <w:t xml:space="preserve">” initially means the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the occurrence of any Common Stock Change Event, the Underlying Security will be deemed to consist of the securities, if any, included in the Reference Property of such Common Stock Change Event. </w:t>
      </w:r>
    </w:p>
    <w:p>
      <w:pPr>
        <w:pStyle w:val="TextBody"/>
        <w:bidi w:val="0"/>
        <w:spacing w:before="240" w:after="0"/>
        <w:jc w:val="left"/>
        <w:rPr/>
      </w:pPr>
      <w:r>
        <w:rPr/>
        <w:t>“</w:t>
      </w:r>
      <w:r>
        <w:rPr>
          <w:rFonts w:ascii="Times New Roman" w:hAnsi="Times New Roman"/>
          <w:b/>
          <w:sz w:val="20"/>
        </w:rPr>
        <w:t>VWAP Market Disruption Event</w:t>
      </w:r>
      <w:r>
        <w:rPr>
          <w:rFonts w:ascii="Times New Roman" w:hAnsi="Times New Roman"/>
          <w:sz w:val="20"/>
        </w:rPr>
        <w:t xml:space="preserve">”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 </w:t>
      </w:r>
    </w:p>
    <w:p>
      <w:pPr>
        <w:pStyle w:val="TextBody"/>
        <w:bidi w:val="0"/>
        <w:spacing w:before="240" w:after="0"/>
        <w:jc w:val="left"/>
        <w:rPr/>
      </w:pPr>
      <w:r>
        <w:rPr/>
        <w:t>“</w:t>
      </w:r>
      <w:r>
        <w:rPr>
          <w:rFonts w:ascii="Times New Roman" w:hAnsi="Times New Roman"/>
          <w:b/>
          <w:sz w:val="20"/>
        </w:rPr>
        <w:t>VWAP Trading Day</w:t>
      </w:r>
      <w:r>
        <w:rPr>
          <w:rFonts w:ascii="Times New Roman" w:hAnsi="Times New Roman"/>
          <w:sz w:val="20"/>
        </w:rPr>
        <w:t xml:space="preserve">”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of a Person means any Subsidiary of such Person all of the outstanding Capital Stock or other ownership interests of which (other than directors’ qualifying shares) are owned by such Person or one or more Wholly Owned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1.02 OTHER DEFINITIONS. </w:t>
      </w:r>
    </w:p>
    <w:p>
      <w:pPr>
        <w:pStyle w:val="TextBody"/>
        <w:bidi w:val="0"/>
        <w:spacing w:before="0" w:after="0"/>
        <w:jc w:val="left"/>
        <w:rPr/>
      </w:pPr>
      <w:r>
        <w:rPr/>
        <w:t> </w:t>
      </w:r>
    </w:p>
    <w:tbl>
      <w:tblPr>
        <w:tblW w:w="4800" w:type="pct"/>
        <w:jc w:val="center"/>
        <w:tblInd w:w="0" w:type="dxa"/>
        <w:tblLayout w:type="fixed"/>
        <w:tblCellMar>
          <w:top w:w="0" w:type="dxa"/>
          <w:left w:w="0" w:type="dxa"/>
          <w:bottom w:w="0" w:type="dxa"/>
          <w:right w:w="0" w:type="dxa"/>
        </w:tblCellMar>
      </w:tblPr>
      <w:tblGrid>
        <w:gridCol w:w="8033"/>
        <w:gridCol w:w="195"/>
        <w:gridCol w:w="1568"/>
      </w:tblGrid>
      <w:tr>
        <w:trPr/>
        <w:tc>
          <w:tcPr>
            <w:tcW w:w="8033"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803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195" w:type="dxa"/>
            <w:tcBorders/>
            <w:vAlign w:val="bottom"/>
          </w:tcPr>
          <w:p>
            <w:pPr>
              <w:pStyle w:val="TableContents"/>
              <w:bidi w:val="0"/>
              <w:spacing w:before="0" w:after="283"/>
              <w:jc w:val="left"/>
              <w:rPr/>
            </w:pPr>
            <w:r>
              <w:rPr/>
              <w:t>  </w:t>
            </w:r>
          </w:p>
        </w:tc>
        <w:tc>
          <w:tcPr>
            <w:tcW w:w="1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Defined in</w:t>
              <w:br/>
              <w:t>Section</w:t>
            </w:r>
          </w:p>
        </w:tc>
      </w:tr>
      <w:tr>
        <w:trPr/>
        <w:tc>
          <w:tcPr>
            <w:tcW w:w="8033" w:type="dxa"/>
            <w:tcBorders/>
          </w:tcPr>
          <w:p>
            <w:pPr>
              <w:pStyle w:val="TableContents"/>
              <w:bidi w:val="0"/>
              <w:spacing w:before="0" w:after="283"/>
              <w:jc w:val="left"/>
              <w:rPr/>
            </w:pPr>
            <w:r>
              <w:rPr/>
              <w:t>“</w:t>
            </w:r>
            <w:r>
              <w:rPr>
                <w:b/>
              </w:rPr>
              <w:t>Additional Shares”</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5.07(A)</w:t>
            </w:r>
          </w:p>
        </w:tc>
      </w:tr>
      <w:tr>
        <w:trPr/>
        <w:tc>
          <w:tcPr>
            <w:tcW w:w="8033" w:type="dxa"/>
            <w:tcBorders/>
          </w:tcPr>
          <w:p>
            <w:pPr>
              <w:pStyle w:val="TableContents"/>
              <w:bidi w:val="0"/>
              <w:spacing w:before="0" w:after="283"/>
              <w:jc w:val="left"/>
              <w:rPr/>
            </w:pPr>
            <w:r>
              <w:rPr/>
              <w:t>“</w:t>
            </w:r>
            <w:r>
              <w:rPr>
                <w:b/>
              </w:rPr>
              <w:t>Cash Settlement”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5.03(A)</w:t>
            </w:r>
          </w:p>
        </w:tc>
      </w:tr>
      <w:tr>
        <w:trPr/>
        <w:tc>
          <w:tcPr>
            <w:tcW w:w="8033" w:type="dxa"/>
            <w:tcBorders/>
          </w:tcPr>
          <w:p>
            <w:pPr>
              <w:pStyle w:val="TableContents"/>
              <w:bidi w:val="0"/>
              <w:spacing w:before="0" w:after="283"/>
              <w:jc w:val="left"/>
              <w:rPr/>
            </w:pPr>
            <w:r>
              <w:rPr/>
              <w:t>“</w:t>
            </w:r>
            <w:r>
              <w:rPr>
                <w:b/>
              </w:rPr>
              <w:t>Combination Settlement”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5.03(A)</w:t>
            </w:r>
          </w:p>
        </w:tc>
      </w:tr>
      <w:tr>
        <w:trPr/>
        <w:tc>
          <w:tcPr>
            <w:tcW w:w="8033" w:type="dxa"/>
            <w:tcBorders/>
          </w:tcPr>
          <w:p>
            <w:pPr>
              <w:pStyle w:val="TableContents"/>
              <w:bidi w:val="0"/>
              <w:spacing w:before="0" w:after="283"/>
              <w:jc w:val="left"/>
              <w:rPr/>
            </w:pPr>
            <w:r>
              <w:rPr/>
              <w:t>“</w:t>
            </w:r>
            <w:r>
              <w:rPr>
                <w:b/>
              </w:rPr>
              <w:t>Common Stock Change Event”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5.09(A)</w:t>
            </w:r>
          </w:p>
        </w:tc>
      </w:tr>
      <w:tr>
        <w:trPr/>
        <w:tc>
          <w:tcPr>
            <w:tcW w:w="8033" w:type="dxa"/>
            <w:tcBorders/>
          </w:tcPr>
          <w:p>
            <w:pPr>
              <w:pStyle w:val="TableContents"/>
              <w:bidi w:val="0"/>
              <w:spacing w:before="0" w:after="283"/>
              <w:jc w:val="left"/>
              <w:rPr/>
            </w:pPr>
            <w:r>
              <w:rPr/>
              <w:t>“</w:t>
            </w:r>
            <w:r>
              <w:rPr>
                <w:b/>
              </w:rPr>
              <w:t>Company Business Combination Event”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6.01(A)</w:t>
            </w:r>
          </w:p>
        </w:tc>
      </w:tr>
      <w:tr>
        <w:trPr/>
        <w:tc>
          <w:tcPr>
            <w:tcW w:w="8033" w:type="dxa"/>
            <w:tcBorders/>
          </w:tcPr>
          <w:p>
            <w:pPr>
              <w:pStyle w:val="TableContents"/>
              <w:bidi w:val="0"/>
              <w:spacing w:before="0" w:after="283"/>
              <w:jc w:val="left"/>
              <w:rPr/>
            </w:pPr>
            <w:r>
              <w:rPr/>
              <w:t>“</w:t>
            </w:r>
            <w:r>
              <w:rPr>
                <w:b/>
              </w:rPr>
              <w:t>Company Successor Entity”</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6.01(A)(i)</w:t>
            </w:r>
          </w:p>
        </w:tc>
      </w:tr>
      <w:tr>
        <w:trPr/>
        <w:tc>
          <w:tcPr>
            <w:tcW w:w="8033" w:type="dxa"/>
            <w:tcBorders/>
          </w:tcPr>
          <w:p>
            <w:pPr>
              <w:pStyle w:val="TableContents"/>
              <w:bidi w:val="0"/>
              <w:spacing w:before="0" w:after="283"/>
              <w:jc w:val="left"/>
              <w:rPr/>
            </w:pPr>
            <w:r>
              <w:rPr/>
              <w:t>“</w:t>
            </w:r>
            <w:r>
              <w:rPr>
                <w:b/>
              </w:rPr>
              <w:t>Default Interest”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2.05(B)</w:t>
            </w:r>
          </w:p>
        </w:tc>
      </w:tr>
      <w:tr>
        <w:trPr/>
        <w:tc>
          <w:tcPr>
            <w:tcW w:w="8033" w:type="dxa"/>
            <w:tcBorders/>
          </w:tcPr>
          <w:p>
            <w:pPr>
              <w:pStyle w:val="TableContents"/>
              <w:bidi w:val="0"/>
              <w:spacing w:before="0" w:after="283"/>
              <w:jc w:val="left"/>
              <w:rPr/>
            </w:pPr>
            <w:r>
              <w:rPr/>
              <w:t>“</w:t>
            </w:r>
            <w:r>
              <w:rPr>
                <w:b/>
              </w:rPr>
              <w:t>Defaulted Amount”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2.05(B)</w:t>
            </w:r>
          </w:p>
        </w:tc>
      </w:tr>
      <w:tr>
        <w:trPr/>
        <w:tc>
          <w:tcPr>
            <w:tcW w:w="8033" w:type="dxa"/>
            <w:tcBorders/>
          </w:tcPr>
          <w:p>
            <w:pPr>
              <w:pStyle w:val="TableContents"/>
              <w:bidi w:val="0"/>
              <w:spacing w:before="0" w:after="283"/>
              <w:jc w:val="left"/>
              <w:rPr/>
            </w:pPr>
            <w:r>
              <w:rPr/>
              <w:t>“</w:t>
            </w:r>
            <w:r>
              <w:rPr>
                <w:b/>
              </w:rPr>
              <w:t>Event of Default”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7.01(A)</w:t>
            </w:r>
          </w:p>
        </w:tc>
      </w:tr>
      <w:tr>
        <w:trPr/>
        <w:tc>
          <w:tcPr>
            <w:tcW w:w="8033" w:type="dxa"/>
            <w:tcBorders/>
          </w:tcPr>
          <w:p>
            <w:pPr>
              <w:pStyle w:val="TableContents"/>
              <w:bidi w:val="0"/>
              <w:spacing w:before="0" w:after="283"/>
              <w:jc w:val="left"/>
              <w:rPr/>
            </w:pPr>
            <w:r>
              <w:rPr/>
              <w:t>“</w:t>
            </w:r>
            <w:r>
              <w:rPr>
                <w:b/>
              </w:rPr>
              <w:t>Exchange Agent”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2.06(A)</w:t>
            </w:r>
          </w:p>
        </w:tc>
      </w:tr>
      <w:tr>
        <w:trPr/>
        <w:tc>
          <w:tcPr>
            <w:tcW w:w="8033" w:type="dxa"/>
            <w:tcBorders/>
          </w:tcPr>
          <w:p>
            <w:pPr>
              <w:pStyle w:val="TableContents"/>
              <w:bidi w:val="0"/>
              <w:spacing w:before="0" w:after="283"/>
              <w:jc w:val="left"/>
              <w:rPr/>
            </w:pPr>
            <w:r>
              <w:rPr/>
              <w:t>“</w:t>
            </w:r>
            <w:r>
              <w:rPr>
                <w:b/>
              </w:rPr>
              <w:t>Exchange Consideration”</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5.03(B)</w:t>
            </w:r>
          </w:p>
        </w:tc>
      </w:tr>
      <w:tr>
        <w:trPr/>
        <w:tc>
          <w:tcPr>
            <w:tcW w:w="8033" w:type="dxa"/>
            <w:tcBorders/>
          </w:tcPr>
          <w:p>
            <w:pPr>
              <w:pStyle w:val="TableContents"/>
              <w:bidi w:val="0"/>
              <w:spacing w:before="0" w:after="283"/>
              <w:jc w:val="left"/>
              <w:rPr/>
            </w:pPr>
            <w:r>
              <w:rPr/>
              <w:t>“</w:t>
            </w:r>
            <w:r>
              <w:rPr>
                <w:b/>
              </w:rPr>
              <w:t>Expiration Date”</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5.05(A)(v)</w:t>
            </w:r>
          </w:p>
        </w:tc>
      </w:tr>
      <w:tr>
        <w:trPr/>
        <w:tc>
          <w:tcPr>
            <w:tcW w:w="8033" w:type="dxa"/>
            <w:tcBorders/>
          </w:tcPr>
          <w:p>
            <w:pPr>
              <w:pStyle w:val="TableContents"/>
              <w:bidi w:val="0"/>
              <w:spacing w:before="0" w:after="283"/>
              <w:jc w:val="left"/>
              <w:rPr/>
            </w:pPr>
            <w:r>
              <w:rPr/>
              <w:t>“</w:t>
            </w:r>
            <w:r>
              <w:rPr>
                <w:b/>
              </w:rPr>
              <w:t>Expiration Time”</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5.05(A)(v)</w:t>
            </w:r>
          </w:p>
        </w:tc>
      </w:tr>
      <w:tr>
        <w:trPr/>
        <w:tc>
          <w:tcPr>
            <w:tcW w:w="8033" w:type="dxa"/>
            <w:tcBorders/>
          </w:tcPr>
          <w:p>
            <w:pPr>
              <w:pStyle w:val="TableContents"/>
              <w:bidi w:val="0"/>
              <w:spacing w:before="0" w:after="283"/>
              <w:jc w:val="left"/>
              <w:rPr/>
            </w:pPr>
            <w:r>
              <w:rPr/>
              <w:t>“</w:t>
            </w:r>
            <w:r>
              <w:rPr>
                <w:b/>
              </w:rPr>
              <w:t>Fundamental Change Notice”</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4.02(E)</w:t>
            </w:r>
          </w:p>
        </w:tc>
      </w:tr>
      <w:tr>
        <w:trPr/>
        <w:tc>
          <w:tcPr>
            <w:tcW w:w="8033" w:type="dxa"/>
            <w:tcBorders/>
          </w:tcPr>
          <w:p>
            <w:pPr>
              <w:pStyle w:val="TableContents"/>
              <w:bidi w:val="0"/>
              <w:spacing w:before="0" w:after="283"/>
              <w:jc w:val="left"/>
              <w:rPr/>
            </w:pPr>
            <w:r>
              <w:rPr/>
              <w:t>“</w:t>
            </w:r>
            <w:r>
              <w:rPr>
                <w:b/>
              </w:rPr>
              <w:t>Fundamental Change Repurchase Right”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4.02(A)</w:t>
            </w:r>
          </w:p>
        </w:tc>
      </w:tr>
      <w:tr>
        <w:trPr/>
        <w:tc>
          <w:tcPr>
            <w:tcW w:w="8033" w:type="dxa"/>
            <w:tcBorders/>
          </w:tcPr>
          <w:p>
            <w:pPr>
              <w:pStyle w:val="TableContents"/>
              <w:bidi w:val="0"/>
              <w:spacing w:before="0" w:after="283"/>
              <w:jc w:val="left"/>
              <w:rPr/>
            </w:pPr>
            <w:r>
              <w:rPr/>
              <w:t>“</w:t>
            </w:r>
            <w:r>
              <w:rPr>
                <w:b/>
              </w:rPr>
              <w:t>Guaranteed Obligations”</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9.01(A)</w:t>
            </w:r>
          </w:p>
        </w:tc>
      </w:tr>
      <w:tr>
        <w:trPr/>
        <w:tc>
          <w:tcPr>
            <w:tcW w:w="8033" w:type="dxa"/>
            <w:tcBorders/>
          </w:tcPr>
          <w:p>
            <w:pPr>
              <w:pStyle w:val="TableContents"/>
              <w:bidi w:val="0"/>
              <w:spacing w:before="0" w:after="283"/>
              <w:jc w:val="left"/>
              <w:rPr/>
            </w:pPr>
            <w:r>
              <w:rPr/>
              <w:t>“</w:t>
            </w:r>
            <w:r>
              <w:rPr>
                <w:b/>
              </w:rPr>
              <w:t>Initial Notes”</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2.03(A)</w:t>
            </w:r>
          </w:p>
        </w:tc>
      </w:tr>
      <w:tr>
        <w:trPr/>
        <w:tc>
          <w:tcPr>
            <w:tcW w:w="8033" w:type="dxa"/>
            <w:tcBorders/>
          </w:tcPr>
          <w:p>
            <w:pPr>
              <w:pStyle w:val="TableContents"/>
              <w:bidi w:val="0"/>
              <w:spacing w:before="0" w:after="283"/>
              <w:jc w:val="left"/>
              <w:rPr/>
            </w:pPr>
            <w:r>
              <w:rPr/>
              <w:t>“</w:t>
            </w:r>
            <w:r>
              <w:rPr>
                <w:b/>
              </w:rPr>
              <w:t>Maturity Premium”</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3.05(A)</w:t>
            </w:r>
          </w:p>
        </w:tc>
      </w:tr>
      <w:tr>
        <w:trPr/>
        <w:tc>
          <w:tcPr>
            <w:tcW w:w="8033" w:type="dxa"/>
            <w:tcBorders/>
          </w:tcPr>
          <w:p>
            <w:pPr>
              <w:pStyle w:val="TableContents"/>
              <w:bidi w:val="0"/>
              <w:spacing w:before="0" w:after="283"/>
              <w:jc w:val="left"/>
              <w:rPr/>
            </w:pPr>
            <w:r>
              <w:rPr/>
              <w:t>“</w:t>
            </w:r>
            <w:r>
              <w:rPr>
                <w:b/>
              </w:rPr>
              <w:t>Measurement Period”</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5.01(C)(i)(2)</w:t>
            </w:r>
          </w:p>
        </w:tc>
      </w:tr>
      <w:tr>
        <w:trPr/>
        <w:tc>
          <w:tcPr>
            <w:tcW w:w="8033" w:type="dxa"/>
            <w:tcBorders/>
          </w:tcPr>
          <w:p>
            <w:pPr>
              <w:pStyle w:val="TableContents"/>
              <w:bidi w:val="0"/>
              <w:spacing w:before="0" w:after="283"/>
              <w:jc w:val="left"/>
              <w:rPr/>
            </w:pPr>
            <w:r>
              <w:rPr/>
              <w:t>“</w:t>
            </w:r>
            <w:r>
              <w:rPr>
                <w:b/>
              </w:rPr>
              <w:t>Parent Guarantor Business Combination Event”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9.04(A)</w:t>
            </w:r>
          </w:p>
        </w:tc>
      </w:tr>
      <w:tr>
        <w:trPr/>
        <w:tc>
          <w:tcPr>
            <w:tcW w:w="8033" w:type="dxa"/>
            <w:tcBorders/>
          </w:tcPr>
          <w:p>
            <w:pPr>
              <w:pStyle w:val="TableContents"/>
              <w:bidi w:val="0"/>
              <w:spacing w:before="0" w:after="283"/>
              <w:jc w:val="left"/>
              <w:rPr/>
            </w:pPr>
            <w:r>
              <w:rPr/>
              <w:t>“</w:t>
            </w:r>
            <w:r>
              <w:rPr>
                <w:b/>
              </w:rPr>
              <w:t>Parent Guarantor Successor Entity”</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9.04(A)(i)</w:t>
            </w:r>
          </w:p>
        </w:tc>
      </w:tr>
      <w:tr>
        <w:trPr/>
        <w:tc>
          <w:tcPr>
            <w:tcW w:w="8033" w:type="dxa"/>
            <w:tcBorders/>
          </w:tcPr>
          <w:p>
            <w:pPr>
              <w:pStyle w:val="TableContents"/>
              <w:bidi w:val="0"/>
              <w:spacing w:before="0" w:after="283"/>
              <w:jc w:val="left"/>
              <w:rPr/>
            </w:pPr>
            <w:r>
              <w:rPr/>
              <w:t>“</w:t>
            </w:r>
            <w:r>
              <w:rPr>
                <w:b/>
              </w:rPr>
              <w:t>Paying Agent”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2.06(A)</w:t>
            </w:r>
          </w:p>
        </w:tc>
      </w:tr>
      <w:tr>
        <w:trPr/>
        <w:tc>
          <w:tcPr>
            <w:tcW w:w="8033" w:type="dxa"/>
            <w:tcBorders/>
          </w:tcPr>
          <w:p>
            <w:pPr>
              <w:pStyle w:val="TableContents"/>
              <w:bidi w:val="0"/>
              <w:spacing w:before="0" w:after="283"/>
              <w:jc w:val="left"/>
              <w:rPr/>
            </w:pPr>
            <w:r>
              <w:rPr/>
              <w:t>“</w:t>
            </w:r>
            <w:r>
              <w:rPr>
                <w:b/>
              </w:rPr>
              <w:t>Redemption Notice”</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4.03(I)</w:t>
            </w:r>
          </w:p>
        </w:tc>
      </w:tr>
      <w:tr>
        <w:trPr/>
        <w:tc>
          <w:tcPr>
            <w:tcW w:w="8033" w:type="dxa"/>
            <w:tcBorders/>
          </w:tcPr>
          <w:p>
            <w:pPr>
              <w:pStyle w:val="TableContents"/>
              <w:bidi w:val="0"/>
              <w:spacing w:before="0" w:after="283"/>
              <w:jc w:val="left"/>
              <w:rPr/>
            </w:pPr>
            <w:r>
              <w:rPr/>
              <w:t>“</w:t>
            </w:r>
            <w:r>
              <w:rPr>
                <w:b/>
              </w:rPr>
              <w:t>Reference Property”</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5.09(A)</w:t>
            </w:r>
          </w:p>
        </w:tc>
      </w:tr>
      <w:tr>
        <w:trPr/>
        <w:tc>
          <w:tcPr>
            <w:tcW w:w="8033" w:type="dxa"/>
            <w:tcBorders/>
          </w:tcPr>
          <w:p>
            <w:pPr>
              <w:pStyle w:val="TableContents"/>
              <w:bidi w:val="0"/>
              <w:spacing w:before="0" w:after="283"/>
              <w:jc w:val="left"/>
              <w:rPr/>
            </w:pPr>
            <w:r>
              <w:rPr/>
              <w:t>“</w:t>
            </w:r>
            <w:r>
              <w:rPr>
                <w:b/>
              </w:rPr>
              <w:t>Reference Property Unit”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5.09(A)</w:t>
            </w:r>
          </w:p>
        </w:tc>
      </w:tr>
      <w:tr>
        <w:trPr/>
        <w:tc>
          <w:tcPr>
            <w:tcW w:w="8033" w:type="dxa"/>
            <w:tcBorders/>
          </w:tcPr>
          <w:p>
            <w:pPr>
              <w:pStyle w:val="TableContents"/>
              <w:bidi w:val="0"/>
              <w:spacing w:before="0" w:after="283"/>
              <w:jc w:val="left"/>
              <w:rPr/>
            </w:pPr>
            <w:r>
              <w:rPr/>
              <w:t>“</w:t>
            </w:r>
            <w:r>
              <w:rPr>
                <w:b/>
              </w:rPr>
              <w:t>Register”</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2.06(B)</w:t>
            </w:r>
          </w:p>
        </w:tc>
      </w:tr>
      <w:tr>
        <w:trPr/>
        <w:tc>
          <w:tcPr>
            <w:tcW w:w="8033" w:type="dxa"/>
            <w:tcBorders/>
          </w:tcPr>
          <w:p>
            <w:pPr>
              <w:pStyle w:val="TableContents"/>
              <w:bidi w:val="0"/>
              <w:spacing w:before="0" w:after="283"/>
              <w:jc w:val="left"/>
              <w:rPr/>
            </w:pPr>
            <w:r>
              <w:rPr/>
              <w:t>“</w:t>
            </w:r>
            <w:r>
              <w:rPr>
                <w:b/>
              </w:rPr>
              <w:t>Registrar”</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2.06(A)</w:t>
            </w:r>
          </w:p>
        </w:tc>
      </w:tr>
      <w:tr>
        <w:trPr/>
        <w:tc>
          <w:tcPr>
            <w:tcW w:w="8033" w:type="dxa"/>
            <w:tcBorders/>
          </w:tcPr>
          <w:p>
            <w:pPr>
              <w:pStyle w:val="TableContents"/>
              <w:bidi w:val="0"/>
              <w:spacing w:before="0" w:after="283"/>
              <w:jc w:val="left"/>
              <w:rPr/>
            </w:pPr>
            <w:r>
              <w:rPr/>
              <w:t>“</w:t>
            </w:r>
            <w:r>
              <w:rPr>
                <w:b/>
              </w:rPr>
              <w:t>Reporting Event of Default”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7.03(A)</w:t>
            </w:r>
          </w:p>
        </w:tc>
      </w:tr>
      <w:tr>
        <w:trPr/>
        <w:tc>
          <w:tcPr>
            <w:tcW w:w="8033" w:type="dxa"/>
            <w:tcBorders/>
          </w:tcPr>
          <w:p>
            <w:pPr>
              <w:pStyle w:val="TableContents"/>
              <w:bidi w:val="0"/>
              <w:spacing w:before="0" w:after="283"/>
              <w:jc w:val="left"/>
              <w:rPr/>
            </w:pPr>
            <w:r>
              <w:rPr/>
              <w:t>“</w:t>
            </w:r>
            <w:r>
              <w:rPr>
                <w:b/>
              </w:rPr>
              <w:t>Specified Courts”</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12.07</w:t>
            </w:r>
          </w:p>
        </w:tc>
      </w:tr>
      <w:tr>
        <w:trPr/>
        <w:tc>
          <w:tcPr>
            <w:tcW w:w="8033" w:type="dxa"/>
            <w:tcBorders/>
          </w:tcPr>
          <w:p>
            <w:pPr>
              <w:pStyle w:val="TableContents"/>
              <w:bidi w:val="0"/>
              <w:spacing w:before="0" w:after="283"/>
              <w:jc w:val="left"/>
              <w:rPr/>
            </w:pPr>
            <w:r>
              <w:rPr/>
              <w:t>“</w:t>
            </w:r>
            <w:r>
              <w:rPr>
                <w:b/>
              </w:rPr>
              <w:t>Spin-Off”</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5.05(A)(iii)(2)</w:t>
            </w:r>
          </w:p>
        </w:tc>
      </w:tr>
      <w:tr>
        <w:trPr/>
        <w:tc>
          <w:tcPr>
            <w:tcW w:w="8033" w:type="dxa"/>
            <w:tcBorders/>
          </w:tcPr>
          <w:p>
            <w:pPr>
              <w:pStyle w:val="TableContents"/>
              <w:bidi w:val="0"/>
              <w:spacing w:before="0" w:after="283"/>
              <w:jc w:val="left"/>
              <w:rPr/>
            </w:pPr>
            <w:r>
              <w:rPr/>
              <w:t>“</w:t>
            </w:r>
            <w:r>
              <w:rPr>
                <w:b/>
              </w:rPr>
              <w:t>Spin-Off Valuation Period”</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5.05(A)(iii)(2)</w:t>
            </w:r>
          </w:p>
        </w:tc>
      </w:tr>
      <w:tr>
        <w:trPr/>
        <w:tc>
          <w:tcPr>
            <w:tcW w:w="8033" w:type="dxa"/>
            <w:tcBorders/>
          </w:tcPr>
          <w:p>
            <w:pPr>
              <w:pStyle w:val="TableContents"/>
              <w:bidi w:val="0"/>
              <w:spacing w:before="0" w:after="283"/>
              <w:jc w:val="left"/>
              <w:rPr/>
            </w:pPr>
            <w:r>
              <w:rPr/>
              <w:t>“</w:t>
            </w:r>
            <w:r>
              <w:rPr>
                <w:b/>
              </w:rPr>
              <w:t>Stated Interest”</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2.05(A)</w:t>
            </w:r>
          </w:p>
        </w:tc>
      </w:tr>
      <w:tr>
        <w:trPr/>
        <w:tc>
          <w:tcPr>
            <w:tcW w:w="8033" w:type="dxa"/>
            <w:tcBorders/>
          </w:tcPr>
          <w:p>
            <w:pPr>
              <w:pStyle w:val="TableContents"/>
              <w:bidi w:val="0"/>
              <w:spacing w:before="0" w:after="283"/>
              <w:jc w:val="left"/>
              <w:rPr/>
            </w:pPr>
            <w:r>
              <w:rPr/>
              <w:t>“</w:t>
            </w:r>
            <w:r>
              <w:rPr>
                <w:b/>
              </w:rPr>
              <w:t>Successor Person”</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5.09(A)</w:t>
            </w:r>
          </w:p>
        </w:tc>
      </w:tr>
      <w:tr>
        <w:trPr/>
        <w:tc>
          <w:tcPr>
            <w:tcW w:w="8033" w:type="dxa"/>
            <w:tcBorders/>
          </w:tcPr>
          <w:p>
            <w:pPr>
              <w:pStyle w:val="TableContents"/>
              <w:bidi w:val="0"/>
              <w:spacing w:before="0" w:after="283"/>
              <w:jc w:val="left"/>
              <w:rPr/>
            </w:pPr>
            <w:r>
              <w:rPr/>
              <w:t>“</w:t>
            </w:r>
            <w:r>
              <w:rPr>
                <w:b/>
              </w:rPr>
              <w:t>Tender/Exchange Offer Valuation Period”</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5.05(A)(v)</w:t>
            </w:r>
          </w:p>
        </w:tc>
      </w:tr>
      <w:tr>
        <w:trPr/>
        <w:tc>
          <w:tcPr>
            <w:tcW w:w="8033" w:type="dxa"/>
            <w:tcBorders/>
          </w:tcPr>
          <w:p>
            <w:pPr>
              <w:pStyle w:val="TableContents"/>
              <w:bidi w:val="0"/>
              <w:spacing w:before="0" w:after="283"/>
              <w:jc w:val="left"/>
              <w:rPr/>
            </w:pPr>
            <w:r>
              <w:rPr/>
              <w:t>“</w:t>
            </w:r>
            <w:r>
              <w:rPr>
                <w:b/>
              </w:rPr>
              <w:t>Trading Price Condition”</w:t>
            </w:r>
          </w:p>
        </w:tc>
        <w:tc>
          <w:tcPr>
            <w:tcW w:w="195"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right"/>
              <w:rPr>
                <w:b/>
              </w:rPr>
            </w:pPr>
            <w:r>
              <w:rPr>
                <w:b/>
              </w:rPr>
              <w:t>5.01(C)(i)(2)</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1.03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(A)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(B)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“will” expresses a command; </w:t>
      </w:r>
    </w:p>
    <w:p>
      <w:pPr>
        <w:pStyle w:val="TextBody"/>
        <w:bidi w:val="0"/>
        <w:spacing w:before="240" w:after="0"/>
        <w:jc w:val="left"/>
        <w:rPr>
          <w:rFonts w:ascii="Times New Roman" w:hAnsi="Times New Roman"/>
          <w:sz w:val="20"/>
        </w:rPr>
      </w:pPr>
      <w:r>
        <w:rPr>
          <w:rFonts w:ascii="Times New Roman" w:hAnsi="Times New Roman"/>
          <w:sz w:val="20"/>
        </w:rPr>
        <w:t xml:space="preserve">(D) the “average” of a set of numerical values refers to the arithmetic average of such numerical values; </w:t>
      </w:r>
    </w:p>
    <w:p>
      <w:pPr>
        <w:pStyle w:val="TextBody"/>
        <w:bidi w:val="0"/>
        <w:spacing w:before="240" w:after="0"/>
        <w:jc w:val="left"/>
        <w:rPr>
          <w:rFonts w:ascii="Times New Roman" w:hAnsi="Times New Roman"/>
          <w:sz w:val="20"/>
        </w:rPr>
      </w:pPr>
      <w:r>
        <w:rPr>
          <w:rFonts w:ascii="Times New Roman" w:hAnsi="Times New Roman"/>
          <w:sz w:val="20"/>
        </w:rPr>
        <w:t xml:space="preserve">(E)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words in the singular include the plural and in the plural include the singular,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(G) “herein,” “hereof” and other words of similar import refer to this Indenture as a whole and not to any particular Article, Section or other subdivision of this Indenture,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(H) references to currency mean the lawful currency of the United States of America,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(I) the exhibits, schedules and other attachments to this Indenture are deemed to form part of this Indenture; and </w:t>
      </w:r>
    </w:p>
    <w:p>
      <w:pPr>
        <w:pStyle w:val="TextBody"/>
        <w:bidi w:val="0"/>
        <w:spacing w:before="240" w:after="0"/>
        <w:jc w:val="left"/>
        <w:rPr>
          <w:rFonts w:ascii="Times New Roman" w:hAnsi="Times New Roman"/>
          <w:sz w:val="20"/>
        </w:rPr>
      </w:pPr>
      <w:r>
        <w:rPr>
          <w:rFonts w:ascii="Times New Roman" w:hAnsi="Times New Roman"/>
          <w:sz w:val="20"/>
        </w:rPr>
        <w:t>(J) the term “</w:t>
      </w:r>
      <w:r>
        <w:rPr>
          <w:rFonts w:ascii="Times New Roman" w:hAnsi="Times New Roman"/>
          <w:b/>
          <w:sz w:val="20"/>
        </w:rPr>
        <w:t>interest</w:t>
      </w:r>
      <w:r>
        <w:rPr>
          <w:rFonts w:ascii="Times New Roman" w:hAnsi="Times New Roman"/>
          <w:sz w:val="20"/>
        </w:rPr>
        <w:t xml:space="preserve">,” when used with respect to a Note, includes any Default Interest, Additional Interest and Special Interest, unless the context requires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FORM, DATING AND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Trustee’s certificate of authentication will be substantially in the form set forth in </w:t>
      </w:r>
      <w:r>
        <w:rPr>
          <w:rFonts w:ascii="Times New Roman" w:hAnsi="Times New Roman"/>
          <w:b/>
          <w:sz w:val="20"/>
        </w:rPr>
        <w:t>Exhibit A</w:t>
      </w:r>
      <w:r>
        <w:rPr>
          <w:rFonts w:ascii="Times New Roman" w:hAnsi="Times New Roman"/>
          <w:sz w:val="20"/>
        </w:rPr>
        <w:t xml:space="preserve">. The Notes will bear the legends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may bear notations, legends or endorsements required by law, stock exchange rule or usage or the Depositary. Each Note will be dated as of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issuable only in registered form without interest coupons and only in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representing a Note will bear a unique registration number that is not affixed to any other certificate representing another outstanding Note. </w:t>
      </w:r>
    </w:p>
    <w:p>
      <w:pPr>
        <w:pStyle w:val="TextBody"/>
        <w:bidi w:val="0"/>
        <w:spacing w:before="240" w:after="0"/>
        <w:jc w:val="left"/>
        <w:rPr>
          <w:rFonts w:ascii="Times New Roman" w:hAnsi="Times New Roman"/>
          <w:sz w:val="20"/>
        </w:rPr>
      </w:pPr>
      <w:r>
        <w:rPr>
          <w:rFonts w:ascii="Times New Roman" w:hAnsi="Times New Roman"/>
          <w:sz w:val="20"/>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any provision of any Note conflicts with the provisions of this Indenture, the provisions of this Indenture will control for purposes of this Indenture and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2.02 EXECUTION, 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Due Execution by the Company</w:t>
      </w:r>
      <w:r>
        <w:rPr>
          <w:rFonts w:ascii="Times New Roman" w:hAnsi="Times New Roman"/>
          <w:sz w:val="20"/>
        </w:rPr>
        <w:t xml:space="preserve">.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Authentication by the Trustee and Delivery. </w:t>
      </w:r>
    </w:p>
    <w:p>
      <w:pPr>
        <w:pStyle w:val="TextBody"/>
        <w:bidi w:val="0"/>
        <w:spacing w:before="120" w:after="0"/>
        <w:jc w:val="left"/>
        <w:rPr>
          <w:rFonts w:ascii="Times New Roman" w:hAnsi="Times New Roman"/>
          <w:sz w:val="20"/>
        </w:rPr>
      </w:pPr>
      <w:r>
        <w:rPr>
          <w:rFonts w:ascii="Times New Roman" w:hAnsi="Times New Roman"/>
          <w:sz w:val="20"/>
        </w:rPr>
        <w:t xml:space="preserve">(i) No Note will be valid until it is authenticated by the Trustee. A Note will be deemed to be duly authenticated only when an authorized signatory of the Trustee (or a duly appointed authenticating agent) manually signs the certificate of authentication of such Note.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2.02(A)</w:t>
      </w:r>
      <w:r>
        <w:rPr>
          <w:rFonts w:ascii="Times New Roman" w:hAnsi="Times New Roman"/>
          <w:sz w:val="20"/>
        </w:rPr>
        <w:t xml:space="preserve">; and (3)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INITIAL NOTES AND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Initial Notes</w:t>
      </w:r>
      <w:r>
        <w:rPr>
          <w:rFonts w:ascii="Times New Roman" w:hAnsi="Times New Roman"/>
          <w:sz w:val="20"/>
        </w:rPr>
        <w:t xml:space="preserve">. On the Issue Date, there will be originally issued two hundred thirty million dollars ($230,000,000) aggregate principal amount of Notes, subject to the provisions of this Indenture (including Section 2.02). Notes issued pursuant to this Section 2.03(A), and any Notes issued in exchange therefor or in substitution thereof, are referred to in this Indenture as the “Initial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Additional Notes</w:t>
      </w:r>
      <w:r>
        <w:rPr>
          <w:rFonts w:ascii="Times New Roman" w:hAnsi="Times New Roman"/>
          <w:sz w:val="20"/>
        </w:rPr>
        <w:t xml:space="preserve">. Without the consent of any Holder, the Company may, subject to the provisions of this Indenture (including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originally issue additional Notes with the same terms as the Initial Notes (except, to the extent applicable, with respect to the date as of which interest begins to accrue on such additional Notes and the first Interest Payment Date of such additional Notes), which additional Notes will, subject to the foregoing, be considered to be part of the same series of, and rank equally and ratably with all other, Notes issued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additional Notes (and any Notes that are resold after such Notes have been purchased or otherwise acquired by the Company, the Parent Guarantor or their respective Subsidiaries) are not fungible with other Notes issued under this Indenture for purposes of U.S. federal income tax or federal securities laws or, if applicable, the Depositary Procedures, then such additional or resold Notes will be identified by a separate CUSIP number or by no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2.04 METHOD OF PAYMENT.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the Maturity Premium, if any, in respect of, and any cash Exchange Consideration for, any Global Note to the Depositary by wire transfer of immediately available funds no later than the time the same is due as provided in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if Additional Interest accrues on a portion (and not the entire principal amount) of any outstanding Global Note in accordance with the Registration Rights Agreement for such Global Note, then the Company will pay such Additional Interest directly to the applicable beneficial owner(s) of such Global Note (as identified in the related Notice and Questionnaire(s)) to the extent the payment is not permitted or practicable under the Depositary Procedures; and (ii) notwithstanding anything to the contrary in this Indenture or the Notes, if payment, in the manner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3.05(A)</w:t>
      </w:r>
      <w:r>
        <w:rPr>
          <w:rFonts w:ascii="Times New Roman" w:hAnsi="Times New Roman"/>
          <w:sz w:val="20"/>
        </w:rPr>
        <w:t xml:space="preserve">, of the Maturity Premium on a Global Note (or any portion thereof) that is Exchanged is not permitted or practicable under the Depositary Procedures, then the Company will instead pay the Maturity Premium as part of the Exchange Consideration due upon such Exchange.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Physical Notes</w:t>
      </w:r>
      <w:r>
        <w:rPr>
          <w:rFonts w:ascii="Times New Roman" w:hAnsi="Times New Roman"/>
          <w:sz w:val="20"/>
        </w:rPr>
        <w:t xml:space="preserve">. The Company will pay, or cause the Paying Agent to pay, the principal (whether due upon maturity on the Maturity Date, Redemption on a Redemption Date or repurchase on a Fundamental Change Repurchase Date or otherwise) of, interest on, the Maturity Premium, if any, in respect of, and any cash Exchange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timely, such written request must be so delivered no later than the Close of Business on the following date: (x) with respect to the payment of any interest due on an Interest Payment Date, the immediately preceding Regular Record Date; (y) with respect to any cash Exchange Consideration, the relevant Exchange Date; and (z) with respect to any other payment, the date that is fifteen (15) calendar days immediately before the date such payment is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2.05 ACCRUAL OF INTEREST; DEFAULTED AMOUNTS; WHEN PAYMENT DATE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Interest</w:t>
      </w:r>
      <w:r>
        <w:rPr>
          <w:rFonts w:ascii="Times New Roman" w:hAnsi="Times New Roman"/>
          <w:sz w:val="20"/>
        </w:rPr>
        <w:t>. Each Note will accrue interest at a rate per annum equal to 2.875% (the “</w:t>
      </w:r>
      <w:r>
        <w:rPr>
          <w:rFonts w:ascii="Times New Roman" w:hAnsi="Times New Roman"/>
          <w:b/>
          <w:sz w:val="20"/>
        </w:rPr>
        <w:t>Stated Interest</w:t>
      </w:r>
      <w:r>
        <w:rPr>
          <w:rFonts w:ascii="Times New Roman" w:hAnsi="Times New Roman"/>
          <w:sz w:val="20"/>
        </w:rPr>
        <w:t xml:space="preserve">”), plus any Default Interest, Additional Interest and Special Interest that may accrue pursuant to </w:t>
      </w:r>
      <w:r>
        <w:rPr>
          <w:rFonts w:ascii="Times New Roman" w:hAnsi="Times New Roman"/>
          <w:b/>
          <w:sz w:val="20"/>
        </w:rPr>
        <w:t>Sections 2.05(B)</w:t>
      </w:r>
      <w:r>
        <w:rPr>
          <w:rFonts w:ascii="Times New Roman" w:hAnsi="Times New Roman"/>
          <w:sz w:val="20"/>
        </w:rPr>
        <w:t xml:space="preserve">, </w:t>
      </w:r>
      <w:r>
        <w:rPr>
          <w:rFonts w:ascii="Times New Roman" w:hAnsi="Times New Roman"/>
          <w:b/>
          <w:sz w:val="20"/>
        </w:rPr>
        <w:t xml:space="preserve">3.04 </w:t>
      </w:r>
      <w:r>
        <w:rPr>
          <w:rFonts w:ascii="Times New Roman" w:hAnsi="Times New Roman"/>
          <w:sz w:val="20"/>
        </w:rPr>
        <w:t xml:space="preserve">and </w:t>
      </w:r>
      <w:r>
        <w:rPr>
          <w:rFonts w:ascii="Times New Roman" w:hAnsi="Times New Roman"/>
          <w:b/>
          <w:sz w:val="20"/>
        </w:rPr>
        <w:t>7.03</w:t>
      </w:r>
      <w:r>
        <w:rPr>
          <w:rFonts w:ascii="Times New Roman" w:hAnsi="Times New Roman"/>
          <w:sz w:val="20"/>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hAnsi="Times New Roman"/>
          <w:b/>
          <w:sz w:val="20"/>
        </w:rPr>
        <w:t>Sections 4.02(D)</w:t>
      </w:r>
      <w:r>
        <w:rPr>
          <w:rFonts w:ascii="Times New Roman" w:hAnsi="Times New Roman"/>
          <w:sz w:val="20"/>
        </w:rPr>
        <w:t xml:space="preserve">, </w:t>
      </w:r>
      <w:r>
        <w:rPr>
          <w:rFonts w:ascii="Times New Roman" w:hAnsi="Times New Roman"/>
          <w:b/>
          <w:sz w:val="20"/>
        </w:rPr>
        <w:t>4.03(H)</w:t>
      </w:r>
      <w:r>
        <w:rPr>
          <w:rFonts w:ascii="Times New Roman" w:hAnsi="Times New Roman"/>
          <w:sz w:val="20"/>
        </w:rPr>
        <w:t xml:space="preserve"> and </w:t>
      </w:r>
      <w:r>
        <w:rPr>
          <w:rFonts w:ascii="Times New Roman" w:hAnsi="Times New Roman"/>
          <w:b/>
          <w:sz w:val="20"/>
        </w:rPr>
        <w:t>5.02(D)</w:t>
      </w:r>
      <w:r>
        <w:rPr>
          <w:rFonts w:ascii="Times New Roman" w:hAnsi="Times New Roman"/>
          <w:sz w:val="20"/>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Defaulted Amounts</w:t>
      </w:r>
      <w:r>
        <w:rPr>
          <w:rFonts w:ascii="Times New Roman" w:hAnsi="Times New Roman"/>
          <w:sz w:val="20"/>
        </w:rPr>
        <w:t>. If the Company fails to pay any cash amount (a “</w:t>
      </w:r>
      <w:r>
        <w:rPr>
          <w:rFonts w:ascii="Times New Roman" w:hAnsi="Times New Roman"/>
          <w:b/>
          <w:sz w:val="20"/>
        </w:rPr>
        <w:t>Defaulted Amount</w:t>
      </w:r>
      <w:r>
        <w:rPr>
          <w:rFonts w:ascii="Times New Roman" w:hAnsi="Times New Roman"/>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hAnsi="Times New Roman"/>
          <w:b/>
          <w:sz w:val="20"/>
        </w:rPr>
        <w:t>Default Interest</w:t>
      </w:r>
      <w:r>
        <w:rPr>
          <w:rFonts w:ascii="Times New Roman" w:hAnsi="Times New Roman"/>
          <w:sz w:val="20"/>
        </w:rPr>
        <w:t xml:space="preserve">”) will accrue on such Defaulted Amount at a rate per annum equal to the rate per annum at which Stated Interest accrues, from, and including, such due date to, but excluding, the date of payment of such Defaulted Amount and Default Interest; and (iii) such Defaulted Amount and Default Interest will be paid, at the Company’s election, as provided in </w:t>
      </w:r>
      <w:r>
        <w:rPr>
          <w:rFonts w:ascii="Times New Roman" w:hAnsi="Times New Roman"/>
          <w:b/>
          <w:sz w:val="20"/>
        </w:rPr>
        <w:t>clause (i)</w:t>
      </w:r>
      <w:r>
        <w:rPr>
          <w:rFonts w:ascii="Times New Roman" w:hAnsi="Times New Roman"/>
          <w:sz w:val="20"/>
        </w:rPr>
        <w:t xml:space="preserve"> or </w:t>
      </w:r>
      <w:r>
        <w:rPr>
          <w:rFonts w:ascii="Times New Roman" w:hAnsi="Times New Roman"/>
          <w:b/>
          <w:sz w:val="20"/>
        </w:rPr>
        <w:t>(ii)</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of Default Amounts on a Special Payment Date</w:t>
      </w:r>
      <w:r>
        <w:rPr>
          <w:rFonts w:ascii="Times New Roman" w:hAnsi="Times New Roman"/>
          <w:sz w:val="20"/>
        </w:rPr>
        <w:t xml:space="preserve">. The Company will have the right to pay such Defaulted Amount and Default Interest on a payment date selected by the Company to the Holder of such Note as of the Close of Business on a special record date selected by the Company, </w:t>
      </w:r>
      <w:r>
        <w:rPr>
          <w:rFonts w:ascii="Times New Roman" w:hAnsi="Times New Roman"/>
          <w:i/>
          <w:sz w:val="20"/>
        </w:rPr>
        <w:t>provided</w:t>
      </w:r>
      <w:r>
        <w:rPr>
          <w:rFonts w:ascii="Times New Roman" w:hAnsi="Times New Roman"/>
          <w:sz w:val="20"/>
        </w:rPr>
        <w:t xml:space="preserve"> 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 payment date and the amount of such Defaulted Amount and Default Interest to be paid on such payment date.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Payment of Default Amount in Any Other Lawful Manner</w:t>
      </w:r>
      <w:r>
        <w:rPr>
          <w:rFonts w:ascii="Times New Roman" w:hAnsi="Times New Roman"/>
          <w:sz w:val="20"/>
        </w:rPr>
        <w:t xml:space="preserve">. If not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2.05(B)(i)</w:t>
      </w:r>
      <w:r>
        <w:rPr>
          <w:rFonts w:ascii="Times New Roman" w:hAnsi="Times New Roman"/>
          <w:sz w:val="20"/>
        </w:rPr>
        <w:t xml:space="preserve">, such Defaulted Amount and Default Interest will be paid by the Company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a Default in the payment or delivery of any Exchange Consideration when due will be cured upon the payment or delivery of the same (together, if applicable in the case of any cash Exchange Consideration, with Default Interest thereon) to the Person to whom such Exchange Consideration is payable or deliverable (determined in accordance with </w:t>
      </w:r>
      <w:r>
        <w:rPr>
          <w:rFonts w:ascii="Times New Roman" w:hAnsi="Times New Roman"/>
          <w:b/>
          <w:sz w:val="20"/>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Delay of Payment When Payment Date Is Not a Business Day</w:t>
      </w:r>
      <w:r>
        <w:rPr>
          <w:rFonts w:ascii="Times New Roman" w:hAnsi="Times New Roman"/>
          <w:sz w:val="20"/>
        </w:rPr>
        <w:t xml:space="preserve">.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Special Provision for Global Notes</w:t>
      </w:r>
      <w:r>
        <w:rPr>
          <w:rFonts w:ascii="Times New Roman" w:hAnsi="Times New Roman"/>
          <w:sz w:val="20"/>
        </w:rPr>
        <w:t xml:space="preserve">. If the first date on which any Additional Interest or Special Interest begins to accrue on a Global Note is on or after the fifth (5th) Business Day before a Regular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2.06 REGISTRAR, PAYING AGENT AND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maintain (i) an office or agency in the continental United States where Notes may be presented for registration of transfer or for exchange (the “</w:t>
      </w:r>
      <w:r>
        <w:rPr>
          <w:rFonts w:ascii="Times New Roman" w:hAnsi="Times New Roman"/>
          <w:b/>
          <w:sz w:val="20"/>
        </w:rPr>
        <w:t>Registrar</w:t>
      </w:r>
      <w:r>
        <w:rPr>
          <w:rFonts w:ascii="Times New Roman" w:hAnsi="Times New Roman"/>
          <w:sz w:val="20"/>
        </w:rPr>
        <w:t>”); (ii) an office or agency in the continental United States where Notes may be presented for payment (the “</w:t>
      </w:r>
      <w:r>
        <w:rPr>
          <w:rFonts w:ascii="Times New Roman" w:hAnsi="Times New Roman"/>
          <w:b/>
          <w:sz w:val="20"/>
        </w:rPr>
        <w:t>Paying Agent</w:t>
      </w:r>
      <w:r>
        <w:rPr>
          <w:rFonts w:ascii="Times New Roman" w:hAnsi="Times New Roman"/>
          <w:sz w:val="20"/>
        </w:rPr>
        <w:t>”); and (iii) an office or agency in the continental United States where Notes may be presented for Exchange (the “</w:t>
      </w:r>
      <w:r>
        <w:rPr>
          <w:rFonts w:ascii="Times New Roman" w:hAnsi="Times New Roman"/>
          <w:b/>
          <w:sz w:val="20"/>
        </w:rPr>
        <w:t>Exchange Agent</w:t>
      </w:r>
      <w:r>
        <w:rPr>
          <w:rFonts w:ascii="Times New Roman" w:hAnsi="Times New Roman"/>
          <w:sz w:val="20"/>
        </w:rPr>
        <w:t xml:space="preserve">”). The Company hereby designates the Corporate Trust Office of the Trustee as such office. If the Company fails to maintain a Registrar, Paying Agent or Exchange Agent, then the Trustee will act as such and will receive compensation therefor in accordance with this Indenture and any other agreement between the Trustee and the Company. For the avoidance of doubt, the Company or any of its Subsidiaries may act as Registrar, Paying Agent or Exchange Agent.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each of the Registrar, Paying Agent and Exchange Agent with respect to any Global Note must at all times be a Person that is eligible to act in that capacity under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Duties of the Registrar</w:t>
      </w:r>
      <w:r>
        <w:rPr>
          <w:rFonts w:ascii="Times New Roman" w:hAnsi="Times New Roman"/>
          <w:sz w:val="20"/>
        </w:rPr>
        <w:t>. The Registrar will keep a record (the “</w:t>
      </w:r>
      <w:r>
        <w:rPr>
          <w:rFonts w:ascii="Times New Roman" w:hAnsi="Times New Roman"/>
          <w:b/>
          <w:sz w:val="20"/>
        </w:rPr>
        <w:t>Register</w:t>
      </w:r>
      <w:r>
        <w:rPr>
          <w:rFonts w:ascii="Times New Roman" w:hAnsi="Times New Roman"/>
          <w:sz w:val="20"/>
        </w:rPr>
        <w:t xml:space="preserve">”) of the names and addresses of the Holders, the Notes held by each Holder and the transfer, exchange, repurchase, Redemption and Exchange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Co-Agents; Company’s Right to Appoint Successor Registrars, Paying Agents and Exchange Agents</w:t>
      </w:r>
      <w:r>
        <w:rPr>
          <w:rFonts w:ascii="Times New Roman" w:hAnsi="Times New Roman"/>
          <w:sz w:val="20"/>
        </w:rPr>
        <w:t xml:space="preserve">. The Company may appoint one or more co-Registrars, co-Paying Agents and co-Exchange Agents, each of whom will be deemed to be a Registrar, Paying Agent or Exchange Agent, as applicable, under this Indenture.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2.06(A)</w:t>
      </w:r>
      <w:r>
        <w:rPr>
          <w:rFonts w:ascii="Times New Roman" w:hAnsi="Times New Roman"/>
          <w:sz w:val="20"/>
        </w:rPr>
        <w:t xml:space="preserve">, the Company may change any Registrar, Paying Agent or Exchange Agent (including appointing itself or any of its Subsidiaries to act in such capacity) without notice to any Holder. The Company will notify the Trustee in writing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Initial Appointments</w:t>
      </w:r>
      <w:r>
        <w:rPr>
          <w:rFonts w:ascii="Times New Roman" w:hAnsi="Times New Roman"/>
          <w:sz w:val="20"/>
        </w:rPr>
        <w:t xml:space="preserve">. The Company appoints the Trustee as, and designates its corporate trust office identified in </w:t>
      </w: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(as the same exists on the Issue Date) in the continental United States as the office for, the initial Paying Agent, the initial Registrar and the initial Exchange Agent, or such other address as the Trustee may designate from time to time by notice to the Holders and the Company, or the principal corporate trust office of any successor Trustee (the “Corporate Trust Office”). In acting in its capacity as Note Agent under this Indenture and in connection with the Notes, the Trustee in such capacities will act solely as an agent of the Company and will not assume any obligations towards or relationship of agency or trust for or with any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2.07 PAYING AGENT AND EXCHANGE AGENT TO HOLD PROPERTY IN TRUST.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require each Paying Agent or Exchange Agent that is not the Trustee to agree in writing that such Note Agent will (A) hold in trust for the benefit of Holders or the Trustee all money and other property held by such Note Agent for payment or delivery due on the Notes; and (B) notify the Trustee in writing of any default by the Company in making any such payment or delivery. The Company, at any time, may, and the Trustee, while any Default continues, may, require a Paying Agent or Exchange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Exchange Agent, then (A) it will segregate and hold in a separate trust fund for the benefit of the Holders or the Trustee all money and other property held by it as Paying Agent or Exchange Agent; and (B) references in this Indenture or the Notes to the Paying Agent or Exchange Agent holding cash or other property, or to the delivery of cash or other property to the Paying Agent or Exchange Agent, in each case for payment or delivery to any Holders or the Trustee or with respect to the Notes, will be deemed to refer to cash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segregated and held separately, or to the segregation and separate holding of such cash or other property, respectively. Upon the occurrence of any event pursuant to </w:t>
      </w:r>
      <w:r>
        <w:rPr>
          <w:rFonts w:ascii="Times New Roman" w:hAnsi="Times New Roman"/>
          <w:b/>
          <w:sz w:val="20"/>
        </w:rPr>
        <w:t>clause (x)</w:t>
      </w:r>
      <w:r>
        <w:rPr>
          <w:rFonts w:ascii="Times New Roman" w:hAnsi="Times New Roman"/>
          <w:sz w:val="20"/>
        </w:rPr>
        <w:t xml:space="preserve"> or </w:t>
      </w:r>
      <w:r>
        <w:rPr>
          <w:rFonts w:ascii="Times New Roman" w:hAnsi="Times New Roman"/>
          <w:b/>
          <w:sz w:val="20"/>
        </w:rPr>
        <w:t>(xi)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with respect to the Company (or with respect to any Subsidiary of the Company acting as Paying Agent or Exchange Agent), the Trustee will serve as the Paying Agent or Exchange Agent, as applicable,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2.08 HOLDER LISTS.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2.09 LEGENDS.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Global Note Legend</w:t>
      </w:r>
      <w:r>
        <w:rPr>
          <w:rFonts w:ascii="Times New Roman" w:hAnsi="Times New Roman"/>
          <w:sz w:val="20"/>
        </w:rPr>
        <w:t xml:space="preserve">. Each Global Note will bear the Global Note Legend (or any similar legend, not inconsistent with this Indenture, required by the Depositary for such Global Note).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Non-Affiliate Legend</w:t>
      </w:r>
      <w:r>
        <w:rPr>
          <w:rFonts w:ascii="Times New Roman" w:hAnsi="Times New Roman"/>
          <w:sz w:val="20"/>
        </w:rPr>
        <w:t xml:space="preserve">. Each Note will bear the Non-Affiliate Legend.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Restricted Note Legend</w:t>
      </w:r>
      <w:r>
        <w:rPr>
          <w:rFonts w:ascii="Times New Roman" w:hAnsi="Times New Roman"/>
          <w:sz w:val="20"/>
        </w:rPr>
        <w:t xml:space="preserve">. Subject to the other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each Note that is a Transfer-Restricted Security will bear the Restricted Note Legend; and </w:t>
      </w:r>
    </w:p>
    <w:p>
      <w:pPr>
        <w:pStyle w:val="TextBody"/>
        <w:bidi w:val="0"/>
        <w:spacing w:before="120" w:after="0"/>
        <w:jc w:val="left"/>
        <w:rPr>
          <w:rFonts w:ascii="Times New Roman" w:hAnsi="Times New Roman"/>
          <w:sz w:val="20"/>
        </w:rPr>
      </w:pPr>
      <w:r>
        <w:rPr>
          <w:rFonts w:ascii="Times New Roman" w:hAnsi="Times New Roman"/>
          <w:sz w:val="20"/>
        </w:rPr>
        <w:t xml:space="preserve">(ii) if a Note is issued in exchange for, in substitution of, or to effect a partial Exchange of, another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2.09(C)(ii)</w:t>
      </w:r>
      <w:r>
        <w:rPr>
          <w:rFonts w:ascii="Times New Roman" w:hAnsi="Times New Roman"/>
          <w:sz w:val="20"/>
        </w:rPr>
        <w:t xml:space="preserv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2.10(B)</w:t>
      </w:r>
      <w:r>
        <w:rPr>
          <w:rFonts w:ascii="Times New Roman" w:hAnsi="Times New Roman"/>
          <w:sz w:val="20"/>
        </w:rPr>
        <w:t xml:space="preserve">, </w:t>
      </w:r>
      <w:r>
        <w:rPr>
          <w:rFonts w:ascii="Times New Roman" w:hAnsi="Times New Roman"/>
          <w:b/>
          <w:sz w:val="20"/>
        </w:rPr>
        <w:t>2.10(C)</w:t>
      </w:r>
      <w:r>
        <w:rPr>
          <w:rFonts w:ascii="Times New Roman" w:hAnsi="Times New Roman"/>
          <w:sz w:val="20"/>
        </w:rPr>
        <w:t xml:space="preserve">, </w:t>
      </w:r>
      <w:r>
        <w:rPr>
          <w:rFonts w:ascii="Times New Roman" w:hAnsi="Times New Roman"/>
          <w:b/>
          <w:sz w:val="20"/>
        </w:rPr>
        <w:t>2.11</w:t>
      </w:r>
      <w:r>
        <w:rPr>
          <w:rFonts w:ascii="Times New Roman" w:hAnsi="Times New Roman"/>
          <w:sz w:val="20"/>
        </w:rPr>
        <w:t xml:space="preserve"> or </w:t>
      </w:r>
      <w:r>
        <w:rPr>
          <w:rFonts w:ascii="Times New Roman" w:hAnsi="Times New Roman"/>
          <w:b/>
          <w:sz w:val="20"/>
        </w:rPr>
        <w:t>2.12</w:t>
      </w:r>
      <w:r>
        <w:rPr>
          <w:rFonts w:ascii="Times New Roman" w:hAnsi="Times New Roman"/>
          <w:sz w:val="20"/>
        </w:rPr>
        <w:t xml:space="preserve">, then such Note will bear the Restricted Note Legend if such old Note bore the Restricted Note Legend at the time of such exchange or substitution, or on the related Exchange Date with respect to such Exchange,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Note need not bear the Restricted Note Legend if such Note does not constitute a Transfer-Restricted Security immediately after such exchange or substitution, or as of such Exchange Date,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Legends</w:t>
      </w:r>
      <w:r>
        <w:rPr>
          <w:rFonts w:ascii="Times New Roman" w:hAnsi="Times New Roman"/>
          <w:sz w:val="20"/>
        </w:rPr>
        <w:t xml:space="preserve">. A Note may bear any other legend or text, not inconsistent with this Indenture, as may be required by applicable law or by any securities exchange or automated quotation system on which such Note is traded or quoted.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Acknowledgment and Agreement by the Holders</w:t>
      </w:r>
      <w:r>
        <w:rPr>
          <w:rFonts w:ascii="Times New Roman" w:hAnsi="Times New Roman"/>
          <w:sz w:val="20"/>
        </w:rPr>
        <w:t xml:space="preserve">. A Holder’s acceptance of any Note bearing any legend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will constitute such Holder’s acknowledgment of, and agreement to comply with, the restrictions set forth in such legend.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Restricted Stock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Exchange Share will, upon its issuance, bear the Restricted Stock Legend if it is a Transfer-Restricted Security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Exchange Share need not bear the Restricted Stock Legend if the Company determines, in its reasonable discretion, that such Exchange Share need not bear the Restricted Stock Legend.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2.09(F)</w:t>
      </w:r>
      <w:r>
        <w:rPr>
          <w:rFonts w:ascii="Times New Roman" w:hAnsi="Times New Roman"/>
          <w:sz w:val="20"/>
        </w:rPr>
        <w:t xml:space="preserve">, an Exchange Share need not bear a Restricted Stock Legend if such Exchange Share is issued in an uncertificated form that does not permit affixing legends thereto, </w:t>
      </w:r>
      <w:r>
        <w:rPr>
          <w:rFonts w:ascii="Times New Roman" w:hAnsi="Times New Roman"/>
          <w:i/>
          <w:sz w:val="20"/>
        </w:rPr>
        <w:t>provided</w:t>
      </w:r>
      <w:r>
        <w:rPr>
          <w:rFonts w:ascii="Times New Roman" w:hAnsi="Times New Roman"/>
          <w:sz w:val="20"/>
        </w:rPr>
        <w:t xml:space="preserve"> the Company takes measures (including the assignment thereto of a “restricted” CUSIP number) that it reasonably deems appropriate to enforce the transfer restrictions referred to in the Restricted Stock Legend.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TRANSFERS AND EXCHANGES; CERTAIN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Provisions Applicable to All Transfers and Exchanges.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Physical Notes and beneficial interests in Global Notes may be transferred or exchanged from time to time and the Registrar will record each such transfer or exchange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Transferred and Exchanged Notes Remain Valid Obligations of the Company</w:t>
      </w:r>
      <w:r>
        <w:rPr>
          <w:rFonts w:ascii="Times New Roman" w:hAnsi="Times New Roman"/>
          <w:sz w:val="20"/>
        </w:rPr>
        <w:t xml:space="preserve">. Each Note issued upon transfer or exchange of any other Note (such other Note being referred to as the “old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2.10(A)(ii)</w:t>
      </w:r>
      <w:r>
        <w:rPr>
          <w:rFonts w:ascii="Times New Roman" w:hAnsi="Times New Roman"/>
          <w:sz w:val="20"/>
        </w:rPr>
        <w:t xml:space="preserve">) or portion thereof in accordance with this Indenture will be the valid obligation of the Company, evidencing the same indebtedness, and entitled to the same benefits under this Indenture, as such old Note or portion thereof,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No Services Charge; Transfer Taxes</w:t>
      </w:r>
      <w:r>
        <w:rPr>
          <w:rFonts w:ascii="Times New Roman" w:hAnsi="Times New Roman"/>
          <w:sz w:val="20"/>
        </w:rPr>
        <w:t xml:space="preserve">. The Company, the Parent Guarantor, the Trustee and the Note Agents will not impose any service charge on any Holder for any transfer, exchange or Exchange of Notes, but the Company, the Parent Guarantor, the Trustee, the Registrar and/or the Exchange Agent may require payment of a sum sufficient to cover any transfer tax or similar governmental charge that may be imposed in connection with any transfer, exchange or Exchange of Notes, other than exchanges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2.16</w:t>
      </w:r>
      <w:r>
        <w:rPr>
          <w:rFonts w:ascii="Times New Roman" w:hAnsi="Times New Roman"/>
          <w:sz w:val="20"/>
        </w:rPr>
        <w:t xml:space="preserve"> or </w:t>
      </w:r>
      <w:r>
        <w:rPr>
          <w:rFonts w:ascii="Times New Roman" w:hAnsi="Times New Roman"/>
          <w:b/>
          <w:sz w:val="20"/>
        </w:rPr>
        <w:t>8.05</w:t>
      </w:r>
      <w:r>
        <w:rPr>
          <w:rFonts w:ascii="Times New Roman" w:hAnsi="Times New Roman"/>
          <w:sz w:val="20"/>
        </w:rPr>
        <w:t xml:space="preserve"> not involving any transfer.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Transfers and Exchanges Must Be in Authorized Denominations</w:t>
      </w:r>
      <w:r>
        <w:rPr>
          <w:rFonts w:ascii="Times New Roman" w:hAnsi="Times New Roman"/>
          <w:sz w:val="20"/>
        </w:rPr>
        <w:t xml:space="preserve">. Notwithstanding anything to the contrary in this Indenture or the Notes, a Note may not be transferred or exchanged in part unless the portion to be so transferred or exchanged is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Trustee’s Disclaimer</w:t>
      </w:r>
      <w:r>
        <w:rPr>
          <w:rFonts w:ascii="Times New Roman" w:hAnsi="Times New Roman"/>
          <w:sz w:val="20"/>
        </w:rPr>
        <w:t xml:space="preserve">.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 Neither the Trustee nor any of its agents will have any responsibility for any actions taken or not taken by the Depositary. The Trustee (including in its capacity as a Note Agent) will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Redemption Notice or Fundamental Change Repurchase Notice) or the payment of any amount or delivery of any Notes (or other security or property) under or with respect to such Notes. All payments to be made to Holders in respect of the Notes will be given or made only to or upon the order of the registered Holders (which is the Depositary or its nominee in the case of a Global Note). The rights of beneficial owners in any Global Note will be exercised only through the Depositary subject to the applicable Depositary Procedures. The Trustee (including in its capacity as a Note Agent) may rely and will be fully protected in relying upon information furnished by the Depositary with arespect to its members, participants and any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Legends</w:t>
      </w:r>
      <w:r>
        <w:rPr>
          <w:rFonts w:ascii="Times New Roman" w:hAnsi="Times New Roman"/>
          <w:sz w:val="20"/>
        </w:rPr>
        <w:t xml:space="preserve">. Each Note issued upon transfer of, or in exchange for, another Note will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Settlement of Transfers and Exchanges</w:t>
      </w:r>
      <w:r>
        <w:rPr>
          <w:rFonts w:ascii="Times New Roman" w:hAnsi="Times New Roman"/>
          <w:sz w:val="20"/>
        </w:rPr>
        <w:t xml:space="preserve">.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Interpretation</w:t>
      </w:r>
      <w:r>
        <w:rPr>
          <w:rFonts w:ascii="Times New Roman" w:hAnsi="Times New Roman"/>
          <w:sz w:val="20"/>
        </w:rPr>
        <w:t xml:space="preserve">. For the avoidance of doubt, and subject to the terms of this Indenture, as used in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Limitation on De-Legending Notes</w:t>
      </w:r>
      <w:r>
        <w:rPr>
          <w:rFonts w:ascii="Times New Roman" w:hAnsi="Times New Roman"/>
          <w:sz w:val="20"/>
        </w:rPr>
        <w:t xml:space="preserve">. Notwithstanding anything to the contrary in this Indenture or the Notes, the Company, in its sole and absolute discretion, may refuse to reissue any Note without a Restricted Note Legend or to cause any Note to be identified by an “unrestricted” CUSIP number or similar identifier.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Transfers and Exchanges of Global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Certain Restrictions</w:t>
      </w:r>
      <w:r>
        <w:rPr>
          <w:rFonts w:ascii="Times New Roman" w:hAnsi="Times New Roman"/>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Global Note will be exchanged, pursuant to customary procedures, for one or more Physical Notes if: </w:t>
      </w:r>
    </w:p>
    <w:p>
      <w:pPr>
        <w:pStyle w:val="TextBody"/>
        <w:bidi w:val="0"/>
        <w:spacing w:before="120" w:after="0"/>
        <w:jc w:val="left"/>
        <w:rPr>
          <w:rFonts w:ascii="Times New Roman" w:hAnsi="Times New Roman"/>
          <w:sz w:val="20"/>
        </w:rPr>
      </w:pPr>
      <w:r>
        <w:rPr>
          <w:rFonts w:ascii="Times New Roman" w:hAnsi="Times New Roman"/>
          <w:sz w:val="20"/>
        </w:rPr>
        <w:t xml:space="preserve">(1)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 </w:t>
      </w:r>
    </w:p>
    <w:p>
      <w:pPr>
        <w:pStyle w:val="TextBody"/>
        <w:bidi w:val="0"/>
        <w:spacing w:before="120" w:after="0"/>
        <w:jc w:val="left"/>
        <w:rPr>
          <w:rFonts w:ascii="Times New Roman" w:hAnsi="Times New Roman"/>
          <w:sz w:val="20"/>
        </w:rPr>
      </w:pPr>
      <w:r>
        <w:rPr>
          <w:rFonts w:ascii="Times New Roman" w:hAnsi="Times New Roman"/>
          <w:sz w:val="20"/>
        </w:rPr>
        <w:t xml:space="preserve">(2)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 </w:t>
      </w:r>
    </w:p>
    <w:p>
      <w:pPr>
        <w:pStyle w:val="TextBody"/>
        <w:bidi w:val="0"/>
        <w:spacing w:before="120" w:after="0"/>
        <w:jc w:val="left"/>
        <w:rPr>
          <w:rFonts w:ascii="Times New Roman" w:hAnsi="Times New Roman"/>
          <w:sz w:val="20"/>
        </w:rPr>
      </w:pPr>
      <w:r>
        <w:rPr>
          <w:rFonts w:ascii="Times New Roman" w:hAnsi="Times New Roman"/>
          <w:sz w:val="20"/>
        </w:rPr>
        <w:t xml:space="preserve">(3) the Company, in its sole discretion, permits the exchange of any beneficial interest in such Global Note for one or more Physical Notes at the request of the owner of such beneficial interest.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satisfaction of the requirements of this Indenture to effect a transfer or exchange of any Global Note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in writing to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if required to effect such transfer or exchange, then the Trustee will reflect any resulting increase of the principal amount of any other Global Note by notation on the “Schedule of Exchanges of Interests in the Global Note” forming part of such other Global Note; </w:t>
      </w:r>
    </w:p>
    <w:p>
      <w:pPr>
        <w:pStyle w:val="TextBody"/>
        <w:bidi w:val="0"/>
        <w:spacing w:before="120" w:after="0"/>
        <w:jc w:val="left"/>
        <w:rPr>
          <w:rFonts w:ascii="Times New Roman" w:hAnsi="Times New Roman"/>
          <w:sz w:val="20"/>
        </w:rPr>
      </w:pPr>
      <w:r>
        <w:rPr>
          <w:rFonts w:ascii="Times New Roman" w:hAnsi="Times New Roman"/>
          <w:sz w:val="20"/>
        </w:rPr>
        <w:t xml:space="preserve">(3) if required to effect such transfer or exchange, then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Global Note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(4) if such Global Note (or such portion thereof), or any beneficial interest therein, is to be exchanged for one or more Physical Notes, then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Compliance with Depositary Procedures</w:t>
      </w:r>
      <w:r>
        <w:rPr>
          <w:rFonts w:ascii="Times New Roman" w:hAnsi="Times New Roman"/>
          <w:sz w:val="20"/>
        </w:rPr>
        <w:t xml:space="preserve">. Each transfer or exchange of a beneficial interest in any Global Note will be made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Transfers and Exchanges of Physical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Requirements for Transfers and Exchanges</w:t>
      </w:r>
      <w:r>
        <w:rPr>
          <w:rFonts w:ascii="Times New Roman" w:hAnsi="Times New Roman"/>
          <w:sz w:val="20"/>
        </w:rPr>
        <w:t xml:space="preserve">.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effect any such transfer or exchange, such Holder must: </w:t>
      </w:r>
    </w:p>
    <w:p>
      <w:pPr>
        <w:pStyle w:val="TextBody"/>
        <w:bidi w:val="0"/>
        <w:spacing w:before="120" w:after="0"/>
        <w:jc w:val="left"/>
        <w:rPr>
          <w:rFonts w:ascii="Times New Roman" w:hAnsi="Times New Roman"/>
          <w:sz w:val="20"/>
        </w:rPr>
      </w:pPr>
      <w:r>
        <w:rPr>
          <w:rFonts w:ascii="Times New Roman" w:hAnsi="Times New Roman"/>
          <w:sz w:val="20"/>
        </w:rPr>
        <w:t xml:space="preserve">(1) surrender such Physical Note to be transferred or exchanged to the Corporate Trust Office of the Registrar, together with any endorsements or transfer instruments reasonably required by the Company, the Trustee or the Registrar; and </w:t>
      </w:r>
    </w:p>
    <w:p>
      <w:pPr>
        <w:pStyle w:val="TextBody"/>
        <w:bidi w:val="0"/>
        <w:spacing w:before="120" w:after="0"/>
        <w:jc w:val="left"/>
        <w:rPr>
          <w:rFonts w:ascii="Times New Roman" w:hAnsi="Times New Roman"/>
          <w:sz w:val="20"/>
        </w:rPr>
      </w:pPr>
      <w:r>
        <w:rPr>
          <w:rFonts w:ascii="Times New Roman" w:hAnsi="Times New Roman"/>
          <w:sz w:val="20"/>
        </w:rPr>
        <w:t xml:space="preserve">(2) deliver such certificates, documentation or evidence as may be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2.10(D)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Effecting Transfers and Exchanges</w:t>
      </w:r>
      <w:r>
        <w:rPr>
          <w:rFonts w:ascii="Times New Roman" w:hAnsi="Times New Roman"/>
          <w:sz w:val="20"/>
        </w:rPr>
        <w:t xml:space="preserve">. Upon the satisfaction of the requirements of this Indenture to effect a transfer or exchange of any Physical Note (such Physical Note being referred to as the “old Physical Note”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2.10(C)(ii)</w:t>
      </w:r>
      <w:r>
        <w:rPr>
          <w:rFonts w:ascii="Times New Roman" w:hAnsi="Times New Roman"/>
          <w:sz w:val="20"/>
        </w:rPr>
        <w:t xml:space="preserve">) of a Holder (or any portion of such old Physical Note in an Authorized Denomination): </w:t>
      </w:r>
    </w:p>
    <w:p>
      <w:pPr>
        <w:pStyle w:val="TextBody"/>
        <w:bidi w:val="0"/>
        <w:spacing w:before="120" w:after="0"/>
        <w:jc w:val="left"/>
        <w:rPr>
          <w:rFonts w:ascii="Times New Roman" w:hAnsi="Times New Roman"/>
          <w:sz w:val="20"/>
        </w:rPr>
      </w:pPr>
      <w:r>
        <w:rPr>
          <w:rFonts w:ascii="Times New Roman" w:hAnsi="Times New Roman"/>
          <w:sz w:val="20"/>
        </w:rPr>
        <w:t xml:space="preserve">(1) such old Physical Note will be promptly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if such old Physical Note is to be so transferred or exchanged only in part, then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transfer: </w:t>
      </w:r>
    </w:p>
    <w:p>
      <w:pPr>
        <w:pStyle w:val="TextBody"/>
        <w:bidi w:val="0"/>
        <w:spacing w:before="120" w:after="0"/>
        <w:jc w:val="left"/>
        <w:rPr>
          <w:rFonts w:ascii="Times New Roman" w:hAnsi="Times New Roman"/>
          <w:sz w:val="20"/>
        </w:rPr>
      </w:pPr>
      <w:r>
        <w:rPr>
          <w:rFonts w:ascii="Times New Roman" w:hAnsi="Times New Roman"/>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transfer cannot be so effected by notation on one or more existing Global Notes (whether because no Global Notes bearing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then exist, because any such increase will result in any Global Note having an aggregate principal amount exceeding the maximum aggregate principal amount permitted by the Depositary or otherwise), then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a transferee that will hold its interest in such old Physical Note (or such portion thereof) to be so transferred in the form of one or more Physical Notes,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(4) in the case of an exchange,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Requirement to Deliver Documentation and Other Evidence</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2.10(A)(ix)</w:t>
      </w:r>
      <w:r>
        <w:rPr>
          <w:rFonts w:ascii="Times New Roman" w:hAnsi="Times New Roman"/>
          <w:sz w:val="20"/>
        </w:rPr>
        <w:t xml:space="preserve">, if a Holder of any Note that is identified by a “restricted” CUSIP number or that bears a Restricted Note Legend or is a Transfer-Restricted Security requests to: </w:t>
      </w:r>
    </w:p>
    <w:p>
      <w:pPr>
        <w:pStyle w:val="TextBody"/>
        <w:bidi w:val="0"/>
        <w:spacing w:before="120" w:after="0"/>
        <w:jc w:val="left"/>
        <w:rPr>
          <w:rFonts w:ascii="Times New Roman" w:hAnsi="Times New Roman"/>
          <w:sz w:val="20"/>
        </w:rPr>
      </w:pPr>
      <w:r>
        <w:rPr>
          <w:rFonts w:ascii="Times New Roman" w:hAnsi="Times New Roman"/>
          <w:sz w:val="20"/>
        </w:rPr>
        <w:t xml:space="preserve">(i) cause such Note to be identified by an “unrestricted” CUSIP number; </w:t>
      </w:r>
    </w:p>
    <w:p>
      <w:pPr>
        <w:pStyle w:val="TextBody"/>
        <w:bidi w:val="0"/>
        <w:spacing w:before="120" w:after="0"/>
        <w:jc w:val="left"/>
        <w:rPr>
          <w:rFonts w:ascii="Times New Roman" w:hAnsi="Times New Roman"/>
          <w:sz w:val="20"/>
        </w:rPr>
      </w:pPr>
      <w:r>
        <w:rPr>
          <w:rFonts w:ascii="Times New Roman" w:hAnsi="Times New Roman"/>
          <w:sz w:val="20"/>
        </w:rPr>
        <w:t xml:space="preserve">(ii) remove such Restricted Note Legend; or </w:t>
      </w:r>
    </w:p>
    <w:p>
      <w:pPr>
        <w:pStyle w:val="TextBody"/>
        <w:bidi w:val="0"/>
        <w:spacing w:before="120" w:after="0"/>
        <w:jc w:val="left"/>
        <w:rPr>
          <w:rFonts w:ascii="Times New Roman" w:hAnsi="Times New Roman"/>
          <w:sz w:val="20"/>
        </w:rPr>
      </w:pPr>
      <w:r>
        <w:rPr>
          <w:rFonts w:ascii="Times New Roman" w:hAnsi="Times New Roman"/>
          <w:sz w:val="20"/>
        </w:rPr>
        <w:t xml:space="preserve">(iii) register the transfer of such Note to the name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the Parent Guarantor, the Trustee and the Registrar may refuse to effect such identification, removal or transfer, as applicable, unless there is delivered to the Company, the Parent Guarantor, the Trustee and the Registrar such certificates or other documentation or evidence as the Company, the Parent Guarantor, the Trustee and the Registrar may reasonably require for the Company to determine that such identification, removal or transfer, as applicable, complies with the Securities Act and other applicable securities 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2.10(E)</w:t>
      </w:r>
      <w:r>
        <w:rPr>
          <w:rFonts w:ascii="Times New Roman" w:hAnsi="Times New Roman"/>
          <w:sz w:val="20"/>
        </w:rPr>
        <w:t xml:space="preserve">, no such certificates, documentation or evidence (other than a written request in the form contemplated by </w:t>
      </w:r>
      <w:r>
        <w:rPr>
          <w:rFonts w:ascii="Times New Roman" w:hAnsi="Times New Roman"/>
          <w:b/>
          <w:sz w:val="20"/>
        </w:rPr>
        <w:t>Section</w:t>
      </w:r>
      <w:r>
        <w:rPr>
          <w:rFonts w:ascii="Times New Roman" w:hAnsi="Times New Roman"/>
          <w:sz w:val="20"/>
        </w:rPr>
        <w:t> </w:t>
      </w:r>
      <w:r>
        <w:rPr>
          <w:rFonts w:ascii="Times New Roman" w:hAnsi="Times New Roman"/>
          <w:b/>
          <w:sz w:val="20"/>
        </w:rPr>
        <w:t>2.10(E)</w:t>
      </w:r>
      <w:r>
        <w:rPr>
          <w:rFonts w:ascii="Times New Roman" w:hAnsi="Times New Roman"/>
          <w:sz w:val="20"/>
        </w:rPr>
        <w:t xml:space="preserve">) need be so delivered with respect to any transfer pursuant to Rule 144 on or after the date that is six (6) months after the Last Date of Original Issuance of such Note if the requirements of Rule 144(c) are then satisfied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Certain De-Legending Procedures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2.10(A)(ix)</w:t>
      </w:r>
      <w:r>
        <w:rPr>
          <w:rFonts w:ascii="Times New Roman" w:hAnsi="Times New Roman"/>
          <w:sz w:val="20"/>
        </w:rPr>
        <w:t xml:space="preserve">, if a Holder of any Note or share of Common Stock issued upon Exchange of any Note, or an owner of a beneficial interest in any Global Note, or in a global certificate representing any share of Common Stock issued upon Exchange of any Note, transfers such Note or share in compliance with Rule 144 and delivers to the Company a written request in customary form (including a certification that it is not, and has not been at any time during the preceding three (3) months, an Affiliate of the Company) to reissue such Note or share without a Restricted Note Legend or Restricted Stock Legend, as applicable, then the Company will use commercially reasonable efforts to cause the same to occur (and, if applicable, cause such Note or share to thereafter be represented by an “unrestricted” CUSIP or ISIN number in the facilities of the related depositary).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Transfers of Notes Subject to Redemption, Repurchase or Exchange</w:t>
      </w:r>
      <w:r>
        <w:rPr>
          <w:rFonts w:ascii="Times New Roman" w:hAnsi="Times New Roman"/>
          <w:sz w:val="20"/>
        </w:rPr>
        <w:t xml:space="preserve">. Notwithstanding anything to the contrary in this Indenture or the Notes, the Company, the Parent Guarantor, the Trustee and the Registrar will not be required to register the transfer of or exchange any Note that (i) has been surrendered for Exchange, except to the extent that any portion of such Note is not subject to Exchange; (ii) is subject to a Fundamental Change Repurchase Notice validly delivered, and not withdrawn,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2.11 EXCHANGE AND CANCELLATION OF NOTES TO BE EXCHANGED OR TO BE REPURCHASED PURSUANT TO A REPURCHASE UPON FUNDAMENTAL CHANGE OR REDEMPTION. </w:t>
      </w:r>
    </w:p>
    <w:p>
      <w:pPr>
        <w:pStyle w:val="TextBody"/>
        <w:bidi w:val="0"/>
        <w:spacing w:before="120" w:after="0"/>
        <w:jc w:val="left"/>
        <w:rPr>
          <w:rFonts w:ascii="Times New Roman" w:hAnsi="Times New Roman"/>
          <w:sz w:val="20"/>
        </w:rPr>
      </w:pPr>
      <w:r>
        <w:rPr>
          <w:rFonts w:ascii="Times New Roman" w:hAnsi="Times New Roman"/>
          <w:sz w:val="20"/>
        </w:rPr>
        <w:t xml:space="preserve">(A) Partial Exchanges of Physical Notes and Partial Repurchases of Physical Notes Pursuant to a Repurchase Upon Fundamental Change or Redemption. If only a portion of a Physical Note of a Holder is to be Exchanged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as soon as reasonably practicable after such Physical Note is surrendered for such Exchange or repurchase, as applicable, the Company will cause such Physical Note to be exchanged, pursuant and subject to </w:t>
      </w:r>
      <w:r>
        <w:rPr>
          <w:rFonts w:ascii="Times New Roman" w:hAnsi="Times New Roman"/>
          <w:b/>
          <w:sz w:val="20"/>
        </w:rPr>
        <w:t>Section</w:t>
      </w:r>
      <w:r>
        <w:rPr>
          <w:rFonts w:ascii="Times New Roman" w:hAnsi="Times New Roman"/>
          <w:sz w:val="20"/>
        </w:rPr>
        <w:t> </w:t>
      </w:r>
      <w:r>
        <w:rPr>
          <w:rFonts w:ascii="Times New Roman" w:hAnsi="Times New Roman"/>
          <w:b/>
          <w:sz w:val="20"/>
        </w:rPr>
        <w:t>2.10(C)</w:t>
      </w:r>
      <w:r>
        <w:rPr>
          <w:rFonts w:ascii="Times New Roman" w:hAnsi="Times New Roman"/>
          <w:sz w:val="20"/>
        </w:rPr>
        <w:t xml:space="preserve">, for (i) one or more Physical Notes that are in Authorized Denominations and have an aggregate principal amount equal to the principal amount of such Physical Note that is not to be so Exchanged or repurchased, as applicable, and deliver such Physical Note(s) to such Holder; and (ii) a Physical Note having a principal amount equal to the principal amount to be so Exchanged or repurchased, as applicable, which Physical Note will be Exchanged or repurchased, as applicable, pursuant to the terms of this Indenture; provided, however, that the Physical Note referred to in this </w:t>
      </w:r>
      <w:r>
        <w:rPr>
          <w:rFonts w:ascii="Times New Roman" w:hAnsi="Times New Roman"/>
          <w:b/>
          <w:sz w:val="20"/>
        </w:rPr>
        <w:t>clause (ii)</w:t>
      </w:r>
      <w:r>
        <w:rPr>
          <w:rFonts w:ascii="Times New Roman" w:hAnsi="Times New Roman"/>
          <w:sz w:val="20"/>
        </w:rPr>
        <w:t xml:space="preserve"> need not be issued at any time after which such principal amount subject to such Exchange or repurchase, as applicable,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Cancellation of Notes that Are Exchanged and Notes that Are Repurchased Pursuant to a Repurchase Upon Fundamental Change or Redemption.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Physical Notes</w:t>
      </w:r>
      <w:r>
        <w:rPr>
          <w:rFonts w:ascii="Times New Roman" w:hAnsi="Times New Roman"/>
          <w:sz w:val="20"/>
        </w:rPr>
        <w:t xml:space="preserve">. If a Physical Note (or any portion thereof that has not theretofore been exchanged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2.11(A)</w:t>
      </w:r>
      <w:r>
        <w:rPr>
          <w:rFonts w:ascii="Times New Roman" w:hAnsi="Times New Roman"/>
          <w:sz w:val="20"/>
        </w:rPr>
        <w:t xml:space="preserve">) of a Holder is to be Exchanged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later of the time such Physical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and the time such Physical Note is surrendered for such Exchange or repurchase, as applicable, (1) such Physical Note will be cancelled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and (2) in the case of a partial Exchange or repurchase, as applicable, the Company will issue, execute and deliver to such Holder,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one or more Physical Notes that (x) are in Authorized Denominations and have an aggregate principal amount equal to the principal amount of such Physical Note that is not to be so Exchanged or repurchased, as applicable; (y) are registered in the name of such Holder; and (z) bear each legend, if any, required by </w:t>
      </w: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Global Notes</w:t>
      </w:r>
      <w:r>
        <w:rPr>
          <w:rFonts w:ascii="Times New Roman" w:hAnsi="Times New Roman"/>
          <w:sz w:val="20"/>
        </w:rPr>
        <w:t xml:space="preserve">. If a Global Note (or any portion thereof) is to be Exchanged pursuant to </w:t>
      </w:r>
      <w:r>
        <w:rPr>
          <w:rFonts w:ascii="Times New Roman" w:hAnsi="Times New Roman"/>
          <w:b/>
          <w:sz w:val="20"/>
        </w:rPr>
        <w:t>Article 5</w:t>
      </w:r>
      <w:r>
        <w:rPr>
          <w:rFonts w:ascii="Times New Roman" w:hAnsi="Times New Roman"/>
          <w:sz w:val="20"/>
        </w:rPr>
        <w:t xml:space="preserve"> or repurchased pursuant to a Repurchase Upon Fundamental Change or Redemption, then, promptly after the time such Note (or such portion) is deemed to cease to be outstanding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the Trustee will reflect a decrease of the principal amount of such Global Note in an amount equal to the principal amount of such Global Note to be so Exchanged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2.12 REPLACEMENT NOTES. </w:t>
      </w:r>
    </w:p>
    <w:p>
      <w:pPr>
        <w:pStyle w:val="TextBody"/>
        <w:bidi w:val="0"/>
        <w:spacing w:before="120" w:after="0"/>
        <w:jc w:val="left"/>
        <w:rPr>
          <w:rFonts w:ascii="Times New Roman" w:hAnsi="Times New Roman"/>
          <w:sz w:val="20"/>
        </w:rPr>
      </w:pPr>
      <w:r>
        <w:rPr>
          <w:rFonts w:ascii="Times New Roman" w:hAnsi="Times New Roman"/>
          <w:sz w:val="20"/>
        </w:rPr>
        <w:t xml:space="preserve">If a Holder of any Note claims that such Note has been mutilated, lost, destroyed or wrongfully taken, then the Company will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In addition, in the case of a lost, destroyed or wrongfully taken Note, the Company and/or the Trustee may require the Holder thereof to provide such security and/or indemnity that is satisfactory to the Company and the Trustee to protect the Company and the Trustee from any loss that any of them may suffer if such Note is replaced.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Note issued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will be an additional obligation of the Company and will be entitled to all of the benefits of this Indenture equally and ratably with all other Notes issued under this Indenture, regardless of whether the related lost, destroyed or wrongfully taken Note is at any time enforceable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2.13 REGISTERED HOLDERS; CERTAIN RIGHTS WITH RESPECT TO GLOBAL NOTES. </w:t>
      </w:r>
    </w:p>
    <w:p>
      <w:pPr>
        <w:pStyle w:val="TextBody"/>
        <w:bidi w:val="0"/>
        <w:spacing w:before="120" w:after="0"/>
        <w:jc w:val="left"/>
        <w:rPr>
          <w:rFonts w:ascii="Times New Roman" w:hAnsi="Times New Roman"/>
          <w:sz w:val="20"/>
        </w:rPr>
      </w:pPr>
      <w:r>
        <w:rPr>
          <w:rFonts w:ascii="Times New Roman" w:hAnsi="Times New Roman"/>
          <w:sz w:val="20"/>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Parent Guarantor, the Trustee and the Note Agents, and their respective agents, may treat the Depositary as the absolute owner of such Global Note for all purposes whatsoever;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deliver Notes to the Trustee for cancellation. The Registrar, the Paying Agent and the Exchange Agent will forward to the Trustee each Note duly surrendered to them for transfer, exchange, payment or Exchange. The Trustee will promptly cancel all Notes so surrendered to it in accordance with its customary procedures.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the Company may not originally issue new Notes to replace Notes that it has paid or that have been cancelled upon transfer, exchange, payment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NOTES HELD BY THE COMPANY OR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determining whether the Trustee is protected in relying on any such direction, waiver or consent, only Notes that a Responsible Officer of the Trustee knows are so owned will be so disregarded.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2.16 TEMPORARY NOTES.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Notes are ready for delivery, the Company may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temporary Notes. Temporary Notes will be substantially in the form of definitive Notes but may have variations that the Company considers appropriate for temporary Notes. The Company will promptly prepare, issue, execute and deliver, and upon receipt of a Company Order,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definitive Notes in exchange for temporary Notes. Until so exchanged, each temporary Note will in all respects be entitled to the same benefits under this Indenture as definitive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2.17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(ii) assigned a principal amount of zero by notation on the “Schedule of Exchanges of Interests in the Global Note” forming part of any a Global Note representing such Note; (iii) paid in full (including upon Exchange) in accordance with this Indenture; or (iv) deemed to cease to be outstanding to the extent provided in, and subject to, </w:t>
      </w:r>
      <w:r>
        <w:rPr>
          <w:rFonts w:ascii="Times New Roman" w:hAnsi="Times New Roman"/>
          <w:b/>
          <w:sz w:val="20"/>
        </w:rPr>
        <w:t>clause (B)</w:t>
      </w:r>
      <w:r>
        <w:rPr>
          <w:rFonts w:ascii="Times New Roman" w:hAnsi="Times New Roman"/>
          <w:sz w:val="20"/>
        </w:rPr>
        <w:t xml:space="preserve">, </w:t>
      </w:r>
      <w:r>
        <w:rPr>
          <w:rFonts w:ascii="Times New Roman" w:hAnsi="Times New Roman"/>
          <w:b/>
          <w:sz w:val="20"/>
        </w:rPr>
        <w:t>(C)</w:t>
      </w:r>
      <w:r>
        <w:rPr>
          <w:rFonts w:ascii="Times New Roman" w:hAnsi="Times New Roman"/>
          <w:sz w:val="20"/>
        </w:rPr>
        <w:t xml:space="preserve"> or </w:t>
      </w:r>
      <w:r>
        <w:rPr>
          <w:rFonts w:ascii="Times New Roman" w:hAnsi="Times New Roman"/>
          <w:b/>
          <w:sz w:val="20"/>
        </w:rPr>
        <w:t>(D)</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Replaced Notes</w:t>
      </w:r>
      <w:r>
        <w:rPr>
          <w:rFonts w:ascii="Times New Roman" w:hAnsi="Times New Roman"/>
          <w:sz w:val="20"/>
        </w:rPr>
        <w:t xml:space="preserve">. If a Note is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then such Note will cease to be outstanding at the time of its replacement, unless the Trustee and the Company receive proof reasonably satisfactory to them that such Note is held by a “</w:t>
      </w:r>
      <w:r>
        <w:rPr>
          <w:rFonts w:ascii="Times New Roman" w:hAnsi="Times New Roman"/>
          <w:i/>
          <w:sz w:val="20"/>
        </w:rPr>
        <w:t>bona fide</w:t>
      </w:r>
      <w:r>
        <w:rPr>
          <w:rFonts w:ascii="Times New Roman" w:hAnsi="Times New Roman"/>
          <w:sz w:val="20"/>
        </w:rPr>
        <w:t xml:space="preserve"> purchaser”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Maturing Notes and Notes Called for Redemption or Subject to Repurchase</w:t>
      </w:r>
      <w:r>
        <w:rPr>
          <w:rFonts w:ascii="Times New Roman" w:hAnsi="Times New Roman"/>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4.03(H)</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Notes to Be Exchanged</w:t>
      </w:r>
      <w:r>
        <w:rPr>
          <w:rFonts w:ascii="Times New Roman" w:hAnsi="Times New Roman"/>
          <w:sz w:val="20"/>
        </w:rPr>
        <w:t xml:space="preserve">. At the Close of Business on the Exchange Date for any Note (or any portion thereof) to be Exchanged, such Note (or such portion) will (unless there occurs a Default in the delivery of the Exchange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upon such Exchange) be deemed to cease to be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Cessation of Accrual of Interest</w:t>
      </w:r>
      <w:r>
        <w:rPr>
          <w:rFonts w:ascii="Times New Roman" w:hAnsi="Times New Roman"/>
          <w:sz w:val="20"/>
        </w:rPr>
        <w:t xml:space="preserv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r>
        <w:rPr>
          <w:rFonts w:ascii="Times New Roman" w:hAnsi="Times New Roman"/>
          <w:b/>
          <w:sz w:val="20"/>
        </w:rPr>
        <w:t>4.03(H)</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interest will cease to accrue on each Note from, and including, the date that such Note is deemed,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to cease to be outstanding, unless there occurs a Default in the payment or delivery of any cash or other property due on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2.18 REPURCHASES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the Company, the Parent Guarantor or their respective Subsidiaries may, from time to time, repurchase Notes in open market purchases or in negotiated transactions without delivering prior notice to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2.19 CUSIP AND ISIN NUMBERS.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use one or more CUSIP or ISIN numbers to identify any of the Notes, and, if so, the Company and the Trustee will use such CUSIP or ISIN number(s) in notices to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PAYMENT ON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pay or cause to be paid all the principal of, the Fundamental Change Repurchase Price and Redemption Price for, interest on, and other amounts due with respect to, the Notes on the dates and in the manner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Deposit of Funds</w:t>
      </w:r>
      <w:r>
        <w:rPr>
          <w:rFonts w:ascii="Times New Roman" w:hAnsi="Times New Roman"/>
          <w:sz w:val="20"/>
        </w:rPr>
        <w:t xml:space="preserve">.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any such deposit is received by the Paying Agent after 11:00 A.M., New York City time, on any Redemption Date, Fundamental Change Repurchase Date or Interest Payment Date, such deposit will be deemed deposited on the next Business Day. The Paying Agent will return to the Company, as soon as practicable, any money not required for such purpose.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3.02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The Company will send to the Trustee copies of all reports that the Parent Guarantor is required to file with the SEC pursuant to Section 13(a) or 15(d) of the Exchange Act (other than Form 8-K reports) within fifteen (15) calendar days after the date that the Parent Guarantor is required to file the same (after giving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all applicable grace periods under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need not send to the Trustee any material for which the Parent Guarantor has received, or is seeking in good faith and has not been denied, confidential treatment by the SEC. Any such report that the Parent Guarantor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other than a report that is deemed to be sent to the Trustee pursuant to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The “grace periods” referred to in the preceding paragraph with respect to any report will include the maximum period afforded by Rule 12b-25 (or any successor rule thereto) under the Exchange Act regardless of whether the Parent Guarantor files, or indicates in the related Form 12b-25 (or any successor form thereto) that Parent Guarantor expects to or will file, such report before the expiration of such maximum period. For the avoidance of doubt, if the Parent Guarantor fails to file with the SEC any report pursuant to Section 13(a) or 15(d) of the Exchange Act (other than Form 8-K reports) on or before the date that the Parent Guarantor is required to file the same (after giving effect to all applicable grace periods under the Exchange Act), then such failure will not constitute a Default with respect to the covenant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at any time before the lapsing of the fifteen (15) calendar days referred to in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Trustee’s Disclaimer</w:t>
      </w:r>
      <w:r>
        <w:rPr>
          <w:rFonts w:ascii="Times New Roman" w:hAnsi="Times New Roman"/>
          <w:sz w:val="20"/>
        </w:rPr>
        <w:t xml:space="preserve">. The Trustee need not determine whether the Parent Guarantor has filed any material via the EDGAR system (or such successor). The sending or filing of reports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3.02(A)</w:t>
      </w:r>
      <w:r>
        <w:rPr>
          <w:rFonts w:ascii="Times New Roman" w:hAnsi="Times New Roman"/>
          <w:sz w:val="20"/>
        </w:rPr>
        <w:t xml:space="preserve"> will not be deemed to constitute actual or constructive notice to the Trustee of any information contained, or determinable from information contained, therein, including the Company’s or the Parent Guarantor’s compliance with any of its covenants under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3.03 RULE 144A INFORMATION.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when any Notes or shares of Common Stock issuable upon Exchange of the Notes are outstanding and constitute “restricted securities” (as defined in Rule 144), the Company and the Parent Guarantor (or any of their successors, as applicable)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but only to the extent the same is required for such Notes or shares to be eligible for resale pursuant to Rule 144A.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3.04 ADDITIONAL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Accrual of Additional Interest</w:t>
      </w:r>
      <w:r>
        <w:rPr>
          <w:rFonts w:ascii="Times New Roman" w:hAnsi="Times New Roman"/>
          <w:sz w:val="20"/>
        </w:rPr>
        <w:t xml:space="preserve">. Additional Interest, if any, will accrue on any Note on each day, and in the circumstances, set forth in the Registration Rights Agreement, if any, relating to such Note. For the avoidance of doubt, no Additional Interest will accrue on any Notes issued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and with respect to which no Registration Rights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Additional Interest</w:t>
      </w:r>
      <w:r>
        <w:rPr>
          <w:rFonts w:ascii="Times New Roman" w:hAnsi="Times New Roman"/>
          <w:sz w:val="20"/>
        </w:rPr>
        <w:t xml:space="preserve">. Any Additional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3.04(A) </w:t>
      </w:r>
      <w:r>
        <w:rPr>
          <w:rFonts w:ascii="Times New Roman" w:hAnsi="Times New Roman"/>
          <w:sz w:val="20"/>
        </w:rPr>
        <w:t xml:space="preserve">will be payable on the same 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Additional Interest,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Accrual of Additional Interest; Trustee’s Disclaimer</w:t>
      </w:r>
      <w:r>
        <w:rPr>
          <w:rFonts w:ascii="Times New Roman" w:hAnsi="Times New Roman"/>
          <w:sz w:val="20"/>
        </w:rPr>
        <w:t xml:space="preserve">. The Company will deliver a written notice to the Holder of each Note (or, in the case of Additional Interest accruing on a portion (and not the entire principal amount) of any outstanding Global Note in accordance with the Registration Rights Agreement for such Global Note, to the applicable beneficial holder(s) of such Global Note (as identified in the related Notice and Questionnaire(s))), and to the Trustee, of the commencement and termination of any period in which Additional Interest accrues on such Note. In addition, if Additional Interest accrues on any Note, then, no later than five (5) Business Days before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Each of the Trustee and the Paying Agent (x) will have no duty or obligation to determine whether any Additional Interest is payable or the amount thereof; and (y) may assume (without inquiry) that no Additional Interest is payable unless and until the Company delivers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of 3(a)(9) Period</w:t>
      </w:r>
      <w:r>
        <w:rPr>
          <w:rFonts w:ascii="Times New Roman" w:hAnsi="Times New Roman"/>
          <w:sz w:val="20"/>
        </w:rPr>
        <w:t xml:space="preserve">. The Company will deliver a written notice to the Holder of each Note and to the Trustee as soon as reasonably practicable after the Company and the Parent Guarantor determine that a 3(a)(9) Period has commenced or terminated. In connection with any such notice, the Company or the Parent Guarantor will, substantially concurrently, either post notice of such commencement or termination, as applicable, on the Company’s or the Parent Guarantor’s website or disclose the same in a current report on Form 8-K (or any successor form) that is filed with, or furnished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3.05 MATURITY PREMIUM.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(i) a Note is Exchanged with an Exchange Date that is after November 1, 2030; (ii) the Exchange Consideration for such Exchange includes any whole share(s) of Common Stock; and (iii) a Registration Default Event occurs or is continuing with respect to such share(s) at any time during the period after the Regular Record Date immediately preceding the Maturity Date and on or before the Maturity Date (or, if the Maturity Date is not a Business Day, the next Business Day), then, subject to </w:t>
      </w:r>
      <w:r>
        <w:rPr>
          <w:rFonts w:ascii="Times New Roman" w:hAnsi="Times New Roman"/>
          <w:b/>
          <w:sz w:val="20"/>
        </w:rPr>
        <w:t>Section</w:t>
      </w:r>
      <w:r>
        <w:rPr>
          <w:rFonts w:ascii="Times New Roman" w:hAnsi="Times New Roman"/>
          <w:sz w:val="20"/>
        </w:rPr>
        <w:t> </w:t>
      </w:r>
      <w:r>
        <w:rPr>
          <w:rFonts w:ascii="Times New Roman" w:hAnsi="Times New Roman"/>
          <w:b/>
          <w:sz w:val="20"/>
        </w:rPr>
        <w:t>2.04(A)</w:t>
      </w:r>
      <w:r>
        <w:rPr>
          <w:rFonts w:ascii="Times New Roman" w:hAnsi="Times New Roman"/>
          <w:sz w:val="20"/>
        </w:rPr>
        <w:t>, the interest payment due on such Note in respect of the Interest Payment Date occurring on the Maturity Date will be increased by a cash amount (such cash amount, the “</w:t>
      </w:r>
      <w:r>
        <w:rPr>
          <w:rFonts w:ascii="Times New Roman" w:hAnsi="Times New Roman"/>
          <w:b/>
          <w:sz w:val="20"/>
        </w:rPr>
        <w:t>Maturity Premium</w:t>
      </w:r>
      <w:r>
        <w:rPr>
          <w:rFonts w:ascii="Times New Roman" w:hAnsi="Times New Roman"/>
          <w:sz w:val="20"/>
        </w:rPr>
        <w:t xml:space="preserve">”) equal to three percent (3%) of the principal amount of such Note; </w:t>
      </w:r>
      <w:r>
        <w:rPr>
          <w:rFonts w:ascii="Times New Roman" w:hAnsi="Times New Roman"/>
          <w:i/>
          <w:sz w:val="20"/>
        </w:rPr>
        <w:t>provided, however</w:t>
      </w:r>
      <w:r>
        <w:rPr>
          <w:rFonts w:ascii="Times New Roman" w:hAnsi="Times New Roman"/>
          <w:sz w:val="20"/>
        </w:rPr>
        <w:t xml:space="preserve">, that no Maturity Premium will be payable in respect of any note if a 3(a)(9) Period is in effect continuously throughout the period after the Regular Record Date immediately preceding the Maturity Date and on or before the Maturity Date (or, if the Maturity Date is not a Business Day, the next Business Day). For the avoidance of doubt, (i) the Maturity Premium, if any, will be payable in the same manner as the interest payment due in respect of the Interest Payment Date occurring on the Maturity Date; and (ii) accordingly, if a Maturity Premium is payable with respect to any Note, then,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all Holders of such Note as of the Close of Business on the Regular Record Date immediately before the Maturity Date will receive such Maturity Premium regardless of whether such Notes have been Exchanged after such Regular Record Date. The payment of the Maturity Premium (together, if applicable, with any Additional Interest accrued and payable) will be the exclusive remedy available to the holder of such Note in respect of such Registration Default Event.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Maturity Premium; Trustee’s Disclaimer</w:t>
      </w:r>
      <w:r>
        <w:rPr>
          <w:rFonts w:ascii="Times New Roman" w:hAnsi="Times New Roman"/>
          <w:sz w:val="20"/>
        </w:rPr>
        <w:t xml:space="preserve">. The Company will promptly deliver a written notice to the Holder of each Note, and to the Trustee, of the occurrence of any event obligating the Company to pay a Maturity Premium on such Note. Neither the Trustee nor the Paying Agent will have any duty or obligation to determine and/or verify whether any Maturity Premium is payable or the amount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3.06 COMPLIANCE AND DEFAULT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Annual Compliance Certificate</w:t>
      </w:r>
      <w:r>
        <w:rPr>
          <w:rFonts w:ascii="Times New Roman" w:hAnsi="Times New Roman"/>
          <w:sz w:val="20"/>
        </w:rPr>
        <w:t xml:space="preserve">. Within ninety (90) days after the last day of each fiscal year of the Company,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has occurred; and (ii) whether, to such signatory’s knowledge, a Default has occurred or is continuing (and, if so, describing all such Defaults and what action the Company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 Certificate</w:t>
      </w:r>
      <w:r>
        <w:rPr>
          <w:rFonts w:ascii="Times New Roman" w:hAnsi="Times New Roman"/>
          <w:sz w:val="20"/>
        </w:rPr>
        <w:t xml:space="preserve">. If a Default occurs, then the Company will, within thirty (30) days after its first occurrence, deliver an Officer’s Certificate to the Trustee describing the same and what action the Company is taking or proposes to take with respect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deliver such Officer’s Certificate at any time after such Default is cured or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3.07 STAY, EXTENSION AND USURY LAWS.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3.08 ACQUISITION OF NOTES BY THE COMPANY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Notes that the Company, the Parent Guarantor or any of their respective Subsidiaries have purchased or otherwise acquired will be deemed to remain outstanding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until such time as such Notes are delivered to the Trustee for cancellation.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REPURCHASE AND 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No sinking fund is required to be provided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4.02 RIGHT OF HOLDERS TO REQUIRE THE COMPANY TO REPURCHASE NOTES UPON A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Right of Holders to Require the Company to Repurchase Notes Upon a Fundamental Change</w:t>
      </w:r>
      <w:r>
        <w:rPr>
          <w:rFonts w:ascii="Times New Roman" w:hAnsi="Times New Roman"/>
          <w:sz w:val="20"/>
        </w:rPr>
        <w:t xml:space="preserve">. Subject to the other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if a Fundamental Change occurs, then each Holder will have the right (the “</w:t>
      </w:r>
      <w:r>
        <w:rPr>
          <w:rFonts w:ascii="Times New Roman" w:hAnsi="Times New Roman"/>
          <w:b/>
          <w:sz w:val="20"/>
        </w:rPr>
        <w:t>Fundamental Change Repurchase Right</w:t>
      </w:r>
      <w:r>
        <w:rPr>
          <w:rFonts w:ascii="Times New Roman" w:hAnsi="Times New Roman"/>
          <w:sz w:val="20"/>
        </w:rPr>
        <w:t xml:space="preserve">”) to require the Company to repurchase such Holder’s Notes (or any portion thereof in an Authorized Denomination) on the Fundamental Change Repurchase Date for such Fundamental Change for a cash purchase price equal to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Repurchase Prohibited in Certain Circumstances</w:t>
      </w:r>
      <w:r>
        <w:rPr>
          <w:rFonts w:ascii="Times New Roman" w:hAnsi="Times New Roman"/>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on such Fundamental Change Repurchase Date), then (i) the Company may not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Fundamental Change Repurchase Date</w:t>
      </w:r>
      <w:r>
        <w:rPr>
          <w:rFonts w:ascii="Times New Roman" w:hAnsi="Times New Roman"/>
          <w:sz w:val="20"/>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Fundamental Change Repurchase Price</w:t>
      </w:r>
      <w:r>
        <w:rPr>
          <w:rFonts w:ascii="Times New Roman" w:hAnsi="Times New Roman"/>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Repurchase Price will not include accrued and unpaid interest on such Note to, but excluding, such Fundamental Change Repurchase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Fundamental Change Repurchase Price will include interest on Notes to be repurchased from, and including,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Fundamental Change Notice</w:t>
      </w:r>
      <w:r>
        <w:rPr>
          <w:rFonts w:ascii="Times New Roman" w:hAnsi="Times New Roman"/>
          <w:sz w:val="20"/>
        </w:rPr>
        <w:t>. On or before the twentieth (20th) calendar day after the effective date of a Fundamental Change, the Company will send to each Holder, the Trustee, the Exchange Agent and the Paying Agent a notice of such Fundamental Change (a “</w:t>
      </w:r>
      <w:r>
        <w:rPr>
          <w:rFonts w:ascii="Times New Roman" w:hAnsi="Times New Roman"/>
          <w:b/>
          <w:sz w:val="20"/>
        </w:rPr>
        <w:t>Fundamental Change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Fundamental Change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briefly, the events causing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(iii) the procedures that a Holder must follow to require the Company to repurchase its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including the deadline for exercising the Fundamental Change Repurchase Right and the procedures for submitting and withdrawing a Fundamental Change Repurchase Notice;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Repurchase Date for such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(vii) the Exchange Rate in effect on the date of such Fundamental Change Notice and a description and quantification of any adjustments to the Exchange Rate that may result from such Fundamental Change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that Notes for which a Fundamental Change Repurchase Notice has been duly tendered and not duly withdrawn must be delivered to the Paying Agent for the Holder thereof to be entitled to receive the Fundamental Change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(ix) that Notes (or any portion thereof) that are subject to a Fundamental Change Repurchase Notice that has been duly tendered may be Exchanged only if such Fundamental Change Repurchase Notice is withdrawn in accordance with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(x)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to deliver a Fundamental Change Notice nor any defect in a Fundamental Change Notice will limit the Fundamental Change Repurchase Right of any Holder or otherwise affect the validity of any proceedings relating to any Repurchase Upon Fundamental Change.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Procedures to Exercise the Fundamental Change Repurchase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Delivery of Fundamental Change Repurchase Notice and Notes to Be Repurchased</w:t>
      </w:r>
      <w:r>
        <w:rPr>
          <w:rFonts w:ascii="Times New Roman" w:hAnsi="Times New Roman"/>
          <w:sz w:val="20"/>
        </w:rPr>
        <w:t xml:space="preserve">. To exercise its Fundamental Change Repurchase Right for a Note following a Fundamental Change, the Holder thereof must deliver to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before the Close of Business on the Business Day immediately before the related Fundamental Change Repurchase Date (or such later time as may be required by law), a duly completed, written Fundamental Change Repurchase Notice with respect to such Note; and </w:t>
      </w:r>
    </w:p>
    <w:p>
      <w:pPr>
        <w:pStyle w:val="TextBody"/>
        <w:bidi w:val="0"/>
        <w:spacing w:before="120" w:after="0"/>
        <w:jc w:val="left"/>
        <w:rPr>
          <w:rFonts w:ascii="Times New Roman" w:hAnsi="Times New Roman"/>
          <w:sz w:val="20"/>
        </w:rPr>
      </w:pPr>
      <w:r>
        <w:rPr>
          <w:rFonts w:ascii="Times New Roman" w:hAnsi="Times New Roman"/>
          <w:sz w:val="20"/>
        </w:rPr>
        <w:t xml:space="preserve">(2) such Note, duly endorsed for transfer (if such Note is a Physical Note) or by book-entry transfer (if such Note is a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deliver to the Company a copy of each Fundamental Change Repurchase Notice that it receives.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Contents of Fundamental Change Repurchase Notices</w:t>
      </w:r>
      <w:r>
        <w:rPr>
          <w:rFonts w:ascii="Times New Roman" w:hAnsi="Times New Roman"/>
          <w:sz w:val="20"/>
        </w:rPr>
        <w:t xml:space="preserve">. Each Fundamental Change Repurchase Notice with respect to a Note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such Note to be repurchased, which must be an Authorized Denomination; and </w:t>
      </w:r>
    </w:p>
    <w:p>
      <w:pPr>
        <w:pStyle w:val="TextBody"/>
        <w:bidi w:val="0"/>
        <w:spacing w:before="120" w:after="0"/>
        <w:jc w:val="left"/>
        <w:rPr>
          <w:rFonts w:ascii="Times New Roman" w:hAnsi="Times New Roman"/>
          <w:sz w:val="20"/>
        </w:rPr>
      </w:pPr>
      <w:r>
        <w:rPr>
          <w:rFonts w:ascii="Times New Roman" w:hAnsi="Times New Roman"/>
          <w:sz w:val="20"/>
        </w:rPr>
        <w:t xml:space="preserve">(3) that such Holder is exercising its Fundamental Change Repurchase Right with respect to such principal amount of such Note;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Withdrawal of Fundamental Change Repurchase Notice</w:t>
      </w:r>
      <w:r>
        <w:rPr>
          <w:rFonts w:ascii="Times New Roman" w:hAnsi="Times New Roman"/>
          <w:sz w:val="20"/>
        </w:rPr>
        <w:t xml:space="preserve">.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(1) if such Note is a Physical Note, the certificate number of such Note;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such Note to be withdrawn, which must be an Authorized Denomination; and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of such Note, if any, that remains subject to such Fundamental Change Repurchase Notice, which must be an Authorized Denomination;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Payment of the Fundamental Change Repurchase Price</w:t>
      </w:r>
      <w:r>
        <w:rPr>
          <w:rFonts w:ascii="Times New Roman" w:hAnsi="Times New Roman"/>
          <w:sz w:val="20"/>
        </w:rPr>
        <w:t xml:space="preserve">. Without limiting the Company’s obligation to deposit the Fundamental Change Repurchase Price within the time prescribed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4.02(D) </w:t>
      </w:r>
      <w:r>
        <w:rPr>
          <w:rFonts w:ascii="Times New Roman" w:hAnsi="Times New Roman"/>
          <w:sz w:val="20"/>
        </w:rPr>
        <w:t xml:space="preserve">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4.02(G)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Third Party May Conduct Repurchase Offer In Lieu of the Company</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be deemed to satisfy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(i) one or more third parties conduct any Repurchase Upon Fundamental Change and related offer to repurchase Notes otherwise required by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 </w:t>
      </w:r>
      <w:r>
        <w:rPr>
          <w:rFonts w:ascii="Times New Roman" w:hAnsi="Times New Roman"/>
          <w:sz w:val="20"/>
        </w:rPr>
        <w:t xml:space="preserve">in a manner that would have satisfied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Requirement to Conduct an Offer to Repurchase Notes if the Fundamental Change Results in the Notes Becoming Exchangeable into an Amount of Cash Exceeding the Fundamental Change Repurchase Price</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the Company will not be required to send a Fundamental Change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4.02(E)</w:t>
      </w:r>
      <w:r>
        <w:rPr>
          <w:rFonts w:ascii="Times New Roman" w:hAnsi="Times New Roman"/>
          <w:sz w:val="20"/>
        </w:rPr>
        <w:t xml:space="preserve">, or offer to repurchase or repurchase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in connection with a Common Stock Change Event that constitutes a Fundamental Change pursuant to </w:t>
      </w:r>
      <w:r>
        <w:rPr>
          <w:rFonts w:ascii="Times New Roman" w:hAnsi="Times New Roman"/>
          <w:b/>
          <w:sz w:val="20"/>
        </w:rPr>
        <w:t>clause (B)(ii)</w:t>
      </w:r>
      <w:r>
        <w:rPr>
          <w:rFonts w:ascii="Times New Roman" w:hAnsi="Times New Roman"/>
          <w:sz w:val="20"/>
        </w:rPr>
        <w:t xml:space="preserve"> of the definition 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Exchangeable,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and, if applicable,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 and (iii) the Company timely sends the notice relating to such Fundamental Change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5.01(C)(i)(3)(b) </w:t>
      </w:r>
      <w:r>
        <w:rPr>
          <w:rFonts w:ascii="Times New Roman" w:hAnsi="Times New Roman"/>
          <w:sz w:val="20"/>
        </w:rPr>
        <w:t xml:space="preserve">and includes, in such notice, a statement that the Company is relying on this </w:t>
      </w:r>
      <w:r>
        <w:rPr>
          <w:rFonts w:ascii="Times New Roman" w:hAnsi="Times New Roman"/>
          <w:b/>
          <w:sz w:val="20"/>
        </w:rPr>
        <w:t>Section</w:t>
      </w:r>
      <w:r>
        <w:rPr>
          <w:rFonts w:ascii="Times New Roman" w:hAnsi="Times New Roman"/>
          <w:sz w:val="20"/>
        </w:rPr>
        <w:t> </w:t>
      </w:r>
      <w:r>
        <w:rPr>
          <w:rFonts w:ascii="Times New Roman" w:hAnsi="Times New Roman"/>
          <w:b/>
          <w:sz w:val="20"/>
        </w:rPr>
        <w:t>4.02(I)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Compliance with Applicable Securities Laws</w:t>
      </w:r>
      <w:r>
        <w:rPr>
          <w:rFonts w:ascii="Times New Roman" w:hAnsi="Times New Roman"/>
          <w:sz w:val="20"/>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that the Company’s obligations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conflict with any law or regulation that is applicable to the Company and enacted after the Issue Date, the Company’s compliance with such law or regulation will not be considered to be a Default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Repurchase in Part</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Notes may be repurchased pursuant to a Repurchase Upon Fundamental Change in part, but only in Authorized Denominations.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applying to the repurchase of a Note in whole will equally apply to the repurchase of a permitted portion of a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4.03 RIGHT OF THE COMPANY TO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Right to Redeem Before August</w:t>
      </w:r>
      <w:r>
        <w:rPr>
          <w:rFonts w:ascii="Times New Roman" w:hAnsi="Times New Roman"/>
          <w:sz w:val="20"/>
        </w:rPr>
        <w:t> </w:t>
      </w:r>
      <w:r>
        <w:rPr>
          <w:rFonts w:ascii="Times New Roman" w:hAnsi="Times New Roman"/>
          <w:i/>
          <w:sz w:val="20"/>
        </w:rPr>
        <w:t>6, 2029 Except Pursuant to a Cleanup Redemption or REIT Preservation Redemption.</w:t>
      </w:r>
      <w:r>
        <w:rPr>
          <w:rFonts w:ascii="Times New Roman" w:hAnsi="Times New Roman"/>
          <w:sz w:val="20"/>
        </w:rPr>
        <w:t xml:space="preserve"> The Company may not redeem the Notes at its option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at any time before August 6, 2029, except pursuant to a Cleanup Redemption or REIT Preservation Redemption.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 to Redeem the Notes on or After August</w:t>
      </w:r>
      <w:r>
        <w:rPr>
          <w:rFonts w:ascii="Times New Roman" w:hAnsi="Times New Roman"/>
          <w:sz w:val="20"/>
        </w:rPr>
        <w:t> </w:t>
      </w:r>
      <w:r>
        <w:rPr>
          <w:rFonts w:ascii="Times New Roman" w:hAnsi="Times New Roman"/>
          <w:i/>
          <w:sz w:val="20"/>
        </w:rPr>
        <w:t>6, 2029.</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(including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the Company has the right, at its election, to redeem all, or any portion in an Authorized Denomination, of the Notes, at any time, and from time to time, on a Redemption Date on or after August 6, 2029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the sixtieth (60th) Scheduled Trading Day immediately before the Maturity Date, for a cash purchase price equal to the Redemption Price, but only if (i) the Liquidity Conditions have been satisfied; and (ii) the Last Reported Sale Price per share of Common Stock exceeds one hundred and thirty percent (130%) of the Exchange Price on (x) each of at least twenty (20) Trading Days (whether or not consecutive) during the thirty (30) consecutive Trading Days ending on, and including, the Trading Day immediately before the Redemption Notice Date for such Redemption; and (y) the Trading Day immediately before such Redemption Notice Date. For the avoidance of doubt, the calling of any Notes for Redemption pursuant to the preceding sentence will constitute a Make-Whole Fundamental Change with respect to such Notes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Cleanup Redemption</w:t>
      </w:r>
      <w:r>
        <w:rPr>
          <w:rFonts w:ascii="Times New Roman" w:hAnsi="Times New Roman"/>
          <w:sz w:val="20"/>
        </w:rPr>
        <w:t xml:space="preserve">. Subject to the other terms of this Section 4.03, and without limiting the Company’s right to redeem any Notes pursuant to Section 4.03(B) or Section 4.03(D), the Company will have the right, at its election, to redeem all, but not less than all, of the Notes at any time, on a Redemption Date on or before the sixtieth (60th) Scheduled Trading Day immediately before the Maturity Date, for a cash purchase price equal to the Redemption Price, if (i) the Liquidity Conditions have been satisfied; and (ii) the aggregate principal amount of the Notes that remains outstanding as of the Redemption Notice Date is less than ten percent (10%) of the aggregate principal amount of the Notes initially issued under this Indenture (including any additional Notes issued pursuant to the Initial Purchasers’ option to purchase additional Notes). For the avoidance of doubt, the calling of any Notes for Cleanup Redemption will constitute a Make-Whole Fundamental Change with respect to such Notes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REIT Preservation Redemption</w:t>
      </w:r>
      <w:r>
        <w:rPr>
          <w:rFonts w:ascii="Times New Roman" w:hAnsi="Times New Roman"/>
          <w:sz w:val="20"/>
        </w:rPr>
        <w:t xml:space="preserve">.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(including </w:t>
      </w:r>
      <w:r>
        <w:rPr>
          <w:rFonts w:ascii="Times New Roman" w:hAnsi="Times New Roman"/>
          <w:b/>
          <w:sz w:val="20"/>
        </w:rPr>
        <w:t>Section</w:t>
      </w:r>
      <w:r>
        <w:rPr>
          <w:rFonts w:ascii="Times New Roman" w:hAnsi="Times New Roman"/>
          <w:sz w:val="20"/>
        </w:rPr>
        <w:t> </w:t>
      </w:r>
      <w:r>
        <w:rPr>
          <w:rFonts w:ascii="Times New Roman" w:hAnsi="Times New Roman"/>
          <w:b/>
          <w:sz w:val="20"/>
        </w:rPr>
        <w:t>4.03(E)</w:t>
      </w:r>
      <w:r>
        <w:rPr>
          <w:rFonts w:ascii="Times New Roman" w:hAnsi="Times New Roman"/>
          <w:sz w:val="20"/>
        </w:rPr>
        <w:t xml:space="preserve">), and without limiting the Company’s right to redeem any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4.03(B) or Section</w:t>
      </w:r>
      <w:r>
        <w:rPr>
          <w:rFonts w:ascii="Times New Roman" w:hAnsi="Times New Roman"/>
          <w:sz w:val="20"/>
        </w:rPr>
        <w:t> </w:t>
      </w:r>
      <w:r>
        <w:rPr>
          <w:rFonts w:ascii="Times New Roman" w:hAnsi="Times New Roman"/>
          <w:b/>
          <w:sz w:val="20"/>
        </w:rPr>
        <w:t>4.03(C)</w:t>
      </w:r>
      <w:r>
        <w:rPr>
          <w:rFonts w:ascii="Times New Roman" w:hAnsi="Times New Roman"/>
          <w:sz w:val="20"/>
        </w:rPr>
        <w:t xml:space="preserve">, the Company has the right, at its election, to redeem all, or any portion in an Authorized Denomination, of the Notes, at any time, and from time to time, for a cash purchase price equal to the Redemption Price, to the extent necessary to preserve the Parent Guarantor’s status as a real estate investment trust for U.S. federal income tax purposes, as reasonably determined by the Parent Guarantor’s Board of Directors, </w:t>
      </w:r>
      <w:r>
        <w:rPr>
          <w:rFonts w:ascii="Times New Roman" w:hAnsi="Times New Roman"/>
          <w:i/>
          <w:sz w:val="20"/>
        </w:rPr>
        <w:t>provided</w:t>
      </w:r>
      <w:r>
        <w:rPr>
          <w:rFonts w:ascii="Times New Roman" w:hAnsi="Times New Roman"/>
          <w:sz w:val="20"/>
        </w:rPr>
        <w:t xml:space="preserve"> the Liquidity Conditions have been satisfied. For the avoidance of doubt, the calling of any Notes for Redemption pursuant to the preceding sentence will constitute a Make-Whole Fundamental Change with respect to such Notes pursuant to </w:t>
      </w:r>
      <w:r>
        <w:rPr>
          <w:rFonts w:ascii="Times New Roman" w:hAnsi="Times New Roman"/>
          <w:b/>
          <w:sz w:val="20"/>
        </w:rPr>
        <w:t>clause (B)</w:t>
      </w:r>
      <w:r>
        <w:rPr>
          <w:rFonts w:ascii="Times New Roman" w:hAnsi="Times New Roman"/>
          <w:sz w:val="20"/>
        </w:rPr>
        <w:t xml:space="preserv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Partial Redemption Limitation</w:t>
      </w:r>
      <w:r>
        <w:rPr>
          <w:rFonts w:ascii="Times New Roman" w:hAnsi="Times New Roman"/>
          <w:sz w:val="20"/>
        </w:rPr>
        <w:t xml:space="preserve">. The Company will not call less than all of the outstanding Notes for Provisional Redemption or REIT Preservation Redemption unless the excess of the principal amount of Notes outstanding as of the time the Company sends the related Redemption Notice over the aggregate principal amount of Notes set forth in such Redemption Notice as being subject to such Redemption is at least one hundred million dollars ($100,000,000).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Redemption Prohibited in Certain Circumstances</w:t>
      </w:r>
      <w:r>
        <w:rPr>
          <w:rFonts w:ascii="Times New Roman" w:hAnsi="Times New Roman"/>
          <w:sz w:val="20"/>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on such Redemption Date), then (i) the Company may not call for Redemption or otherwise redeem any Notes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Redemption Date</w:t>
      </w:r>
      <w:r>
        <w:rPr>
          <w:rFonts w:ascii="Times New Roman" w:hAnsi="Times New Roman"/>
          <w:sz w:val="20"/>
        </w:rPr>
        <w:t xml:space="preserve">. The Redemption Date for any Redemption will be a Business Day of the Company’s choosing that is no more than eighty-five (85), nor less than sixty-five (65), Scheduled Trading Days after the Redemption Notice Date for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Redemption Price</w:t>
      </w:r>
      <w:r>
        <w:rPr>
          <w:rFonts w:ascii="Times New Roman" w:hAnsi="Times New Roman"/>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2.05(C)</w:t>
      </w:r>
      <w:r>
        <w:rPr>
          <w:rFonts w:ascii="Times New Roman" w:hAnsi="Times New Roman"/>
          <w:sz w:val="20"/>
        </w:rPr>
        <w:t xml:space="preserve">, on the next Business Day to Holders as of the Close of Business on the immediately preceding Regular Record Date; and (y) the Redemption Price will include interest on Notes to be redeemed from, and including,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Redemption Notice</w:t>
      </w:r>
      <w:r>
        <w:rPr>
          <w:rFonts w:ascii="Times New Roman" w:hAnsi="Times New Roman"/>
          <w:sz w:val="20"/>
        </w:rPr>
        <w:t>. To call any Notes for Redemption, the Company must send to each Holder of such Notes a written notice of such Redemption (a “</w:t>
      </w:r>
      <w:r>
        <w:rPr>
          <w:rFonts w:ascii="Times New Roman" w:hAnsi="Times New Roman"/>
          <w:b/>
          <w:sz w:val="20"/>
        </w:rPr>
        <w:t>Redemption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Redemption Notice must state: </w:t>
      </w:r>
    </w:p>
    <w:p>
      <w:pPr>
        <w:pStyle w:val="TextBody"/>
        <w:bidi w:val="0"/>
        <w:spacing w:before="120" w:after="0"/>
        <w:jc w:val="left"/>
        <w:rPr>
          <w:rFonts w:ascii="Times New Roman" w:hAnsi="Times New Roman"/>
          <w:sz w:val="20"/>
        </w:rPr>
      </w:pPr>
      <w:r>
        <w:rPr>
          <w:rFonts w:ascii="Times New Roman" w:hAnsi="Times New Roman"/>
          <w:sz w:val="20"/>
        </w:rPr>
        <w:t xml:space="preserve">(i) that such Notes have been called for Redemption, briefly describing the Company’s Redemption right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Date for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name and address of the Paying Agent and the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(v) that Notes called for Redemption may be Exchanged at any time before the Close of Business on the second (2nd) Business Day immediately before the Redemption Date (or, if the Company fails to pay the Redemption Price due on such Redemption Date in full, at any time until such time as the Company pays such Redemption Price in full); </w:t>
      </w:r>
    </w:p>
    <w:p>
      <w:pPr>
        <w:pStyle w:val="TextBody"/>
        <w:bidi w:val="0"/>
        <w:spacing w:before="120" w:after="0"/>
        <w:jc w:val="left"/>
        <w:rPr>
          <w:rFonts w:ascii="Times New Roman" w:hAnsi="Times New Roman"/>
          <w:sz w:val="20"/>
        </w:rPr>
      </w:pPr>
      <w:r>
        <w:rPr>
          <w:rFonts w:ascii="Times New Roman" w:hAnsi="Times New Roman"/>
          <w:sz w:val="20"/>
        </w:rPr>
        <w:t xml:space="preserve">(vi) the Exchange Rate in effect on the Redemption Notice Date for such Redemption and a description and quantification of any adjustments to the Exchange Rate that may result from such Redemption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the Settlement Method that will apply to all Exchanges of Notes with an Exchange Date that occurs on or after such Redemption Notice Date and on or before the second (2nd) Business Day before such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(viii) the CUSIP and ISIN numbers, if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Notice Date, the Company will send a copy of such Redemption Notice to the Trustee, the Exchange Agent and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Selection and Exchange of Notes to Be Redeemed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less than all Notes then outstanding are called for Redemption in a Provisional Redemption or REIT Preservation Redemption, then the Notes to be redeemed will be selected by the Company as follows: (1) in the case of Global Notes, in accordance with the Depositary Procedures; and (2) in the case of Physical Notes, pro rata, by lot or by such other method the Company considers fair and appropriate. </w:t>
      </w:r>
    </w:p>
    <w:p>
      <w:pPr>
        <w:pStyle w:val="TextBody"/>
        <w:bidi w:val="0"/>
        <w:spacing w:before="120" w:after="0"/>
        <w:jc w:val="left"/>
        <w:rPr>
          <w:rFonts w:ascii="Times New Roman" w:hAnsi="Times New Roman"/>
          <w:sz w:val="20"/>
        </w:rPr>
      </w:pPr>
      <w:r>
        <w:rPr>
          <w:rFonts w:ascii="Times New Roman" w:hAnsi="Times New Roman"/>
          <w:sz w:val="20"/>
        </w:rPr>
        <w:t xml:space="preserve">(ii) If only a portion of a Note is subject to a Provisional Redemption or REIT Preservation Redemption and such Note is Exchanged in part, then the Exchanged portion of such Note will be deemed to be from the portion of such Note that was subject to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Payment of the Redemption Price</w:t>
      </w:r>
      <w:r>
        <w:rPr>
          <w:rFonts w:ascii="Times New Roman" w:hAnsi="Times New Roman"/>
          <w:sz w:val="20"/>
        </w:rPr>
        <w:t xml:space="preserve">. Without limiting the Company’s obligation to deposit the Redemption Price by the time prescribed by </w:t>
      </w:r>
      <w:r>
        <w:rPr>
          <w:rFonts w:ascii="Times New Roman" w:hAnsi="Times New Roman"/>
          <w:b/>
          <w:sz w:val="20"/>
        </w:rPr>
        <w:t>Section</w:t>
      </w:r>
      <w:r>
        <w:rPr>
          <w:rFonts w:ascii="Times New Roman" w:hAnsi="Times New Roman"/>
          <w:sz w:val="20"/>
        </w:rPr>
        <w:t> </w:t>
      </w:r>
      <w:r>
        <w:rPr>
          <w:rFonts w:ascii="Times New Roman" w:hAnsi="Times New Roman"/>
          <w:b/>
          <w:sz w:val="20"/>
        </w:rPr>
        <w:t>3.01(B)</w:t>
      </w:r>
      <w:r>
        <w:rPr>
          <w:rFonts w:ascii="Times New Roman" w:hAnsi="Times New Roman"/>
          <w:sz w:val="20"/>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 w:hAnsi="Times New Roman"/>
          <w:b/>
          <w:sz w:val="20"/>
        </w:rPr>
        <w:t>Section</w:t>
      </w:r>
      <w:r>
        <w:rPr>
          <w:rFonts w:ascii="Times New Roman" w:hAnsi="Times New Roman"/>
          <w:sz w:val="20"/>
        </w:rPr>
        <w:t> </w:t>
      </w:r>
      <w:r>
        <w:rPr>
          <w:rFonts w:ascii="Times New Roman" w:hAnsi="Times New Roman"/>
          <w:b/>
          <w:sz w:val="20"/>
        </w:rPr>
        <w:t>4.03(H)</w:t>
      </w:r>
      <w:r>
        <w:rPr>
          <w:rFonts w:ascii="Times New Roman" w:hAnsi="Times New Roman"/>
          <w:sz w:val="20"/>
        </w:rPr>
        <w:t xml:space="preserve"> on any Note (or portion thereof) subject to Redemption must be paid pursuant to such proviso.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Special Provisions for Partial Calls</w:t>
      </w:r>
      <w:r>
        <w:rPr>
          <w:rFonts w:ascii="Times New Roman" w:hAnsi="Times New Roman"/>
          <w:sz w:val="20"/>
        </w:rPr>
        <w:t xml:space="preserve">. If the Company elects to redeem less than all of the outstanding Notes in a Provisional Redemption or REIT Preservation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the Holder of any Note, or any owner of a beneficial interest in any Global Note, is reasonably not able to determine, before the Close of Business on the sixty-second (62nd) Scheduled Trading Day immediately before the Redemption Date for such Redemption, whether such Note or beneficial interest, as applicable, is to be redeemed pursuant to such Redemption, then such Holder or owner, as applicable, will be entitled to Exchange such Note or beneficial interest, as applicable, at any time before the Close of Business on the second (2nd) Business Day immediately before such Redemption Date, and each such Exchange will be deemed to be of a Note called for Redemption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and </w:t>
      </w:r>
      <w:r>
        <w:rPr>
          <w:rFonts w:ascii="Times New Roman" w:hAnsi="Times New Roman"/>
          <w:b/>
          <w:sz w:val="20"/>
        </w:rPr>
        <w:t xml:space="preserve">Sections 5.01(C)(i)(4) </w:t>
      </w:r>
      <w:r>
        <w:rPr>
          <w:rFonts w:ascii="Times New Roman" w:hAnsi="Times New Roman"/>
          <w:sz w:val="20"/>
        </w:rPr>
        <w:t xml:space="preserve">and </w:t>
      </w:r>
      <w:r>
        <w:rPr>
          <w:rFonts w:ascii="Times New Roman" w:hAnsi="Times New Roman"/>
          <w:b/>
          <w:sz w:val="20"/>
        </w:rPr>
        <w:t>5.07</w:t>
      </w:r>
      <w:r>
        <w:rPr>
          <w:rFonts w:ascii="Times New Roman" w:hAnsi="Times New Roman"/>
          <w:sz w:val="20"/>
        </w:rPr>
        <w:t xml:space="preserve">. For the avoidance of doubt, each reference in this Indenture or the Notes to (x) any Note that is called for Redemption (or similar language) includes any Note that is deemed to be called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and (y) any Note that is not called for Redemption (or similar language) excludes any Note that is deemed to be called for Redemption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Repurchases or Other Acquisitions Other Than by Redemption Not Affected</w:t>
      </w:r>
      <w:r>
        <w:rPr>
          <w:rFonts w:ascii="Times New Roman" w:hAnsi="Times New Roman"/>
          <w:sz w:val="20"/>
        </w:rPr>
        <w:t xml:space="preserve">. For the avoidance of doubt,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will limit or otherwise apply to any repurchase or other acquisition, by the Company or its Affiliates, or any other Person, of any Notes not by Redemption (including in open market transactions, private or public tender or exchange offers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THE EXCHANGE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5.01 RIGHT TO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the provisions of this </w:t>
      </w:r>
      <w:r>
        <w:rPr>
          <w:rFonts w:ascii="Times New Roman" w:hAnsi="Times New Roman"/>
          <w:b/>
          <w:sz w:val="20"/>
        </w:rPr>
        <w:t>Article 5</w:t>
      </w:r>
      <w:r>
        <w:rPr>
          <w:rFonts w:ascii="Times New Roman" w:hAnsi="Times New Roman"/>
          <w:sz w:val="20"/>
        </w:rPr>
        <w:t xml:space="preserve">, each Holder may, at its option, Exchange such Holder’s Notes into Exchange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Exchanges in Part</w:t>
      </w:r>
      <w:r>
        <w:rPr>
          <w:rFonts w:ascii="Times New Roman" w:hAnsi="Times New Roman"/>
          <w:sz w:val="20"/>
        </w:rPr>
        <w:t xml:space="preserve">. Subject to the terms of this Indenture, Notes may be Exchanged in part, but only in Authorized Denominations. Provisions of this </w:t>
      </w:r>
      <w:r>
        <w:rPr>
          <w:rFonts w:ascii="Times New Roman" w:hAnsi="Times New Roman"/>
          <w:b/>
          <w:sz w:val="20"/>
        </w:rPr>
        <w:t>Article 5</w:t>
      </w:r>
      <w:r>
        <w:rPr>
          <w:rFonts w:ascii="Times New Roman" w:hAnsi="Times New Roman"/>
          <w:sz w:val="20"/>
        </w:rPr>
        <w:t xml:space="preserve"> applying to the Exchange of a Note in whole will equally apply to Exchanges of a permitted portion of a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When Notes May Be Exchanged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5.01(C)(ii)</w:t>
      </w:r>
      <w:r>
        <w:rPr>
          <w:rFonts w:ascii="Times New Roman" w:hAnsi="Times New Roman"/>
          <w:sz w:val="20"/>
        </w:rPr>
        <w:t xml:space="preserve">, a Note may be Exchanged only in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Exchange Upon Satisfaction of Common Stock Sale Price Condition</w:t>
      </w:r>
      <w:r>
        <w:rPr>
          <w:rFonts w:ascii="Times New Roman" w:hAnsi="Times New Roman"/>
          <w:sz w:val="20"/>
        </w:rPr>
        <w:t xml:space="preserve">. A Holder may Exchange its Notes during any calendar quarter (and only during such calendar quarter) commencing after the calendar quarter ending on December 31, 2026, if the Last Reported Sale Price per share of Common Stock exceeds one hundred and thirty percent (130%) of the Exchange Price for each of at least twenty (20) Trading Days (whether or not consecutive) during the thirty (30) consecutive Trading Days ending on, and including, the last Trading Day of the immediately preceding calendar quarter.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Exchange Upon Satisfaction of Note Trading Price Condition</w:t>
      </w:r>
      <w:r>
        <w:rPr>
          <w:rFonts w:ascii="Times New Roman" w:hAnsi="Times New Roman"/>
          <w:sz w:val="20"/>
        </w:rPr>
        <w:t>. A Holder may Exchange its Notes during the five (5) consecutive Business Days immediately after any ten (10) consecutive Trading Day period (such ten (10) consecutive Trading Day period, the “</w:t>
      </w:r>
      <w:r>
        <w:rPr>
          <w:rFonts w:ascii="Times New Roman" w:hAnsi="Times New Roman"/>
          <w:b/>
          <w:sz w:val="20"/>
        </w:rPr>
        <w:t>Measurement Period</w:t>
      </w:r>
      <w:r>
        <w:rPr>
          <w:rFonts w:ascii="Times New Roman" w:hAnsi="Times New Roman"/>
          <w:sz w:val="20"/>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Exchange Rate on such Trading Day. The condition set forth in the preceding sentence is referred to in this Indenture as the “</w:t>
      </w:r>
      <w:r>
        <w:rPr>
          <w:rFonts w:ascii="Times New Roman" w:hAnsi="Times New Roman"/>
          <w:b/>
          <w:sz w:val="20"/>
        </w:rPr>
        <w:t>Trading Price Condition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Trading Price will be determined by the Bid Solicitation Agent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5.01(C)(i)(2)</w:t>
      </w:r>
      <w:r>
        <w:rPr>
          <w:rFonts w:ascii="Times New Roman" w:hAnsi="Times New Roman"/>
          <w:sz w:val="20"/>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Exchange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Exchange Rate on such Trading Day. If the Trading Price Condition has been met as set forth above, then the Company will notify the Holders, the Trustee and the Exchange Agent in writing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Exchange Rate on such Trading Day, then the Company will notify the Holders, the Trustee and the Exchange Agent in writing of the same. </w:t>
      </w:r>
    </w:p>
    <w:p>
      <w:pPr>
        <w:pStyle w:val="TextBody"/>
        <w:bidi w:val="0"/>
        <w:spacing w:before="120" w:after="0"/>
        <w:jc w:val="left"/>
        <w:rPr>
          <w:rFonts w:ascii="Times New Roman" w:hAnsi="Times New Roman"/>
          <w:sz w:val="20"/>
        </w:rPr>
      </w:pPr>
      <w:r>
        <w:rPr>
          <w:rFonts w:ascii="Times New Roman" w:hAnsi="Times New Roman"/>
          <w:sz w:val="20"/>
        </w:rPr>
        <w:t xml:space="preserve">(3) Exchange Upon Specified Corporate Events.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Certain Distributions</w:t>
      </w:r>
      <w:r>
        <w:rPr>
          <w:rFonts w:ascii="Times New Roman" w:hAnsi="Times New Roman"/>
          <w:sz w:val="20"/>
        </w:rPr>
        <w:t xml:space="preserve">. If, before November 1, 2030, the Parent Guarantor elects to: </w:t>
      </w:r>
    </w:p>
    <w:p>
      <w:pPr>
        <w:pStyle w:val="TextBody"/>
        <w:bidi w:val="0"/>
        <w:spacing w:before="120" w:after="0"/>
        <w:jc w:val="left"/>
        <w:rPr>
          <w:rFonts w:ascii="Times New Roman" w:hAnsi="Times New Roman"/>
          <w:sz w:val="20"/>
        </w:rPr>
      </w:pPr>
      <w:r>
        <w:rPr>
          <w:rFonts w:ascii="Times New Roman" w:hAnsi="Times New Roman"/>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hAnsi="Times New Roman"/>
          <w:b/>
          <w:sz w:val="20"/>
        </w:rPr>
        <w:t>clause (I)</w:t>
      </w:r>
      <w:r>
        <w:rPr>
          <w:rFonts w:ascii="Times New Roman" w:hAnsi="Times New Roman"/>
          <w:sz w:val="20"/>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distribute, to all or substantially all holders of Common Stock, assets or securities of the Parent Guarantor or rights to purchase the Parent Guarantor’s securities, which distribution per share of Common Stock has a value, as reasonably determined by the Parent Guarantor’s Board of Directors, exceeding ten percent (10%) of the Last Reported Sale Price per share of Common Stock on the Trading Day immediately before the date such distribution is announced, </w:t>
      </w:r>
    </w:p>
    <w:p>
      <w:pPr>
        <w:pStyle w:val="TextBody"/>
        <w:bidi w:val="0"/>
        <w:spacing w:before="120" w:after="0"/>
        <w:jc w:val="left"/>
        <w:rPr>
          <w:rFonts w:ascii="Times New Roman" w:hAnsi="Times New Roman"/>
          <w:sz w:val="20"/>
        </w:rPr>
      </w:pPr>
      <w:r>
        <w:rPr>
          <w:rFonts w:ascii="Times New Roman" w:hAnsi="Times New Roman"/>
          <w:sz w:val="20"/>
        </w:rPr>
        <w:t xml:space="preserve">then, in either case, (x) the Company will deliver a written notice of such distribution, and of the related right to Exchange Notes, to Holders, the Trustee and the Exchange Agent at least sixty-five (65)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sent such notice, Holders may Exchange their Notes at any time until the earlier of the Close of Business on the Business Day immediately before such Ex-Dividend Date and the Parent Guarantor’s announcement that such distribution will not take place;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Notes will not become Exchangeable pursuant to </w:t>
      </w:r>
      <w:r>
        <w:rPr>
          <w:rFonts w:ascii="Times New Roman" w:hAnsi="Times New Roman"/>
          <w:b/>
          <w:sz w:val="20"/>
        </w:rPr>
        <w:t>clause (y)</w:t>
      </w:r>
      <w:r>
        <w:rPr>
          <w:rFonts w:ascii="Times New Roman" w:hAnsi="Times New Roman"/>
          <w:sz w:val="20"/>
        </w:rPr>
        <w:t xml:space="preserve"> above (but the Company will be required to deliver a written notice to the Holders, the Trustee and the Exchange Agent of such distribution pursuant to </w:t>
      </w:r>
      <w:r>
        <w:rPr>
          <w:rFonts w:ascii="Times New Roman" w:hAnsi="Times New Roman"/>
          <w:b/>
          <w:sz w:val="20"/>
        </w:rPr>
        <w:t>clause (x)</w:t>
      </w:r>
      <w:r>
        <w:rPr>
          <w:rFonts w:ascii="Times New Roman" w:hAnsi="Times New Roman"/>
          <w:sz w:val="20"/>
        </w:rPr>
        <w:t xml:space="preserve"> above) on account of such distribution if each Holder participates, at the same time and on the same terms as holders of Common Stock, and solely by virtue of being a Holder, in such distribution without having to Exchange such Holder’s Notes and as if such Holder held a number of shares of Common Stock equal to the product of (i) the Exchange Rate in effect on the record date for such distribution; and (ii) the aggregate principal amount (expressed in thousands) of Notes held by such Holder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Certain Corporate Events</w:t>
      </w:r>
      <w:r>
        <w:rPr>
          <w:rFonts w:ascii="Times New Roman" w:hAnsi="Times New Roman"/>
          <w:sz w:val="20"/>
        </w:rPr>
        <w:t xml:space="preserve">. If a Fundamental Change, Make-Whole Fundamental Change (other than a Make-Whole Fundamental Change pursuant to </w:t>
      </w:r>
      <w:r>
        <w:rPr>
          <w:rFonts w:ascii="Times New Roman" w:hAnsi="Times New Roman"/>
          <w:b/>
          <w:sz w:val="20"/>
        </w:rPr>
        <w:t>clause (B)</w:t>
      </w:r>
      <w:r>
        <w:rPr>
          <w:rFonts w:ascii="Times New Roman" w:hAnsi="Times New Roman"/>
          <w:sz w:val="20"/>
        </w:rPr>
        <w:t xml:space="preserve"> of the definition thereof) or Common Stock Change Event occurs (other than a merger or other business combination transaction that is effected solely to change the Company’s or the Parent Guarantor’s jurisdiction of organization and that does not constitute a Fundamental Change or a Make-Whole Fundamental Change), then, in each case, Holders may Exchange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does not provide the notice referred to in the immediately following sentence by the Business Day after such effective date, then the last day on which the Notes are Exchangeable pursuant to this sentence will be extended by the number of Business Days from, and including, the Business Day after such effective date to, but excluding, the date the Company provides such notice. No later than the Business Day after such effective date, the Company will deliver a written notice to the Holders, the Trustee and the Exchange Agent of such transaction or event, such effective date and the related right to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Exchange Upon Redemption</w:t>
      </w:r>
      <w:r>
        <w:rPr>
          <w:rFonts w:ascii="Times New Roman" w:hAnsi="Times New Roman"/>
          <w:sz w:val="20"/>
        </w:rPr>
        <w:t xml:space="preserve">. If the Company calls any Note for Redemption, then the Holder of such Note may Exchange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Exchanges During Free Exchangeability Period</w:t>
      </w:r>
      <w:r>
        <w:rPr>
          <w:rFonts w:ascii="Times New Roman" w:hAnsi="Times New Roman"/>
          <w:sz w:val="20"/>
        </w:rPr>
        <w:t xml:space="preserve">. A Holder may Exchange its Notes at any time from, and including, November 1, 2030 until the Close of Business on the second (2nd) Scheduled Trading Day immediately before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Notes may become Exchangeable pursuant to any one or more of the preceding sub-paragraphs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and the Notes ceasing to be Exchangeable pursuant to a particular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5.01(C)(i) </w:t>
      </w:r>
      <w:r>
        <w:rPr>
          <w:rFonts w:ascii="Times New Roman" w:hAnsi="Times New Roman"/>
          <w:sz w:val="20"/>
        </w:rPr>
        <w:t xml:space="preserve">will not preclude the Notes from being Exchangeable pursuant to any other sub-paragraph of this </w:t>
      </w:r>
      <w:r>
        <w:rPr>
          <w:rFonts w:ascii="Times New Roman" w:hAnsi="Times New Roman"/>
          <w:b/>
          <w:sz w:val="20"/>
        </w:rPr>
        <w:t>Section</w:t>
      </w:r>
      <w:r>
        <w:rPr>
          <w:rFonts w:ascii="Times New Roman" w:hAnsi="Times New Roman"/>
          <w:sz w:val="20"/>
        </w:rPr>
        <w:t> </w:t>
      </w:r>
      <w:r>
        <w:rPr>
          <w:rFonts w:ascii="Times New Roman" w:hAnsi="Times New Roman"/>
          <w:b/>
          <w:sz w:val="20"/>
        </w:rPr>
        <w:t>5.01(C)(i)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Limitations and Closed Periods</w:t>
      </w:r>
      <w:r>
        <w:rPr>
          <w:rFonts w:ascii="Times New Roman" w:hAnsi="Times New Roman"/>
          <w:sz w:val="20"/>
        </w:rPr>
        <w:t xml:space="preserve">. Notwithstanding anything to the contrary in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Notes may be surrendered for Exchange only after the Open of Business and before the Close of Business on a day that is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(2) in no event may any Note be Exchanged after the Close of Business on the second (2nd) Scheduled Trading Day immediately before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the Company calls any Note for Redemption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then the Holder of such Note may not Exchange such Note after the Close of Business on the second (2nd) Business Day immediately before the applicable Redemption Date, except to the extent the Company fails to pay the Redemption Price for such Note in accordance with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(4) if a Fundamental Change Repurchase Notice is validly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with respect to any Note, then such Note may not be Exchanged, except to the extent (a) such Note is not subject to such notice; (b) such notice is withdrawn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4.02(F)</w:t>
      </w:r>
      <w:r>
        <w:rPr>
          <w:rFonts w:ascii="Times New Roman" w:hAnsi="Times New Roman"/>
          <w:sz w:val="20"/>
        </w:rPr>
        <w:t xml:space="preserve">; or (c) the Company fails to pay the Fundamental Change Repurchase Price for such Note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Ownership Limit</w:t>
      </w:r>
      <w:r>
        <w:rPr>
          <w:rFonts w:ascii="Times New Roman" w:hAnsi="Times New Roman"/>
          <w:sz w:val="20"/>
        </w:rPr>
        <w:t xml:space="preserve">. Notwithstanding any other provision of this Indenture or the Notes, no Holder of Notes will be entitled to receive any shares of Common Stock following Exchange of such Notes to the extent (but only to the extent) that receipt of such Common Stock would cause such Holder (either directly or after application of the constructive ownership rules set forth in the definitions of “Beneficial Ownership” and “Constructive Ownership Equity” in the Parent Guarantor Charter) to exceed the Ownership Limit or violate other restrictions on ownership and transfer of the Parent Guarantor’s stock contained in the Parent Guarantor Charter;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subject to the conditions set forth in the Parent Guarantor Charter, the Board of Directors of the Parent Guarantor may exempt a Holder from the Ownership Limit as provided in the Parent Guarantor Charter. If the Company elects to settle any attempted Exchange of Notes by paying or delivering, as applicable, a combination of cash and shares of Common Stock, and such Exchange would result in the delivery of the Common Stock in violation of the Ownership Limit or violate other restrictions on ownership and transfer of the Common Stock contained in the Parent Guarantor Charter, then such Exchange will be void to the extent (but only to the extent) of the number of shares of Common Stock that would cause such violation, and the related Notes (or portion thereof) will be returned to the Holder as promptly as practicable. The Parent Guarantor and the Company will not have any further obligation to the Holder of such Notes with respect to such voided Exchange, and such Notes (or portion thereof) will be treated as if they had not been submitted for Exchange. The Company’s failure to deliver any Exchange Consideration otherwise due upon the Exchange of any Note will not constitute a Default under this Indenture to extent such failure is to comply with the limitations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5.01(D)</w:t>
      </w:r>
      <w:r>
        <w:rPr>
          <w:rFonts w:ascii="Times New Roman" w:hAnsi="Times New Roman"/>
          <w:sz w:val="20"/>
        </w:rPr>
        <w:t xml:space="preserve">. The Trustee will have no obligation to monitor compliance with this </w:t>
      </w:r>
      <w:r>
        <w:rPr>
          <w:rFonts w:ascii="Times New Roman" w:hAnsi="Times New Roman"/>
          <w:b/>
          <w:sz w:val="20"/>
        </w:rPr>
        <w:t>Section</w:t>
      </w:r>
      <w:r>
        <w:rPr>
          <w:rFonts w:ascii="Times New Roman" w:hAnsi="Times New Roman"/>
          <w:sz w:val="20"/>
        </w:rPr>
        <w:t> </w:t>
      </w:r>
      <w:r>
        <w:rPr>
          <w:rFonts w:ascii="Times New Roman" w:hAnsi="Times New Roman"/>
          <w:b/>
          <w:sz w:val="20"/>
        </w:rPr>
        <w:t>5.01(D)</w:t>
      </w:r>
      <w:r>
        <w:rPr>
          <w:rFonts w:ascii="Times New Roman" w:hAnsi="Times New Roman"/>
          <w:sz w:val="20"/>
        </w:rPr>
        <w:t xml:space="preserve"> or any ownership limits upon the transfer or Exchange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5.02 EXCHANGE PROCEDURES. </w:t>
      </w:r>
    </w:p>
    <w:p>
      <w:pPr>
        <w:pStyle w:val="TextBody"/>
        <w:bidi w:val="0"/>
        <w:spacing w:before="120" w:after="0"/>
        <w:jc w:val="left"/>
        <w:rPr>
          <w:rFonts w:ascii="Times New Roman" w:hAnsi="Times New Roman"/>
          <w:sz w:val="20"/>
        </w:rPr>
      </w:pPr>
      <w:r>
        <w:rPr>
          <w:rFonts w:ascii="Times New Roman" w:hAnsi="Times New Roman"/>
          <w:sz w:val="20"/>
        </w:rPr>
        <w:t xml:space="preserve">(A) Generally.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Global Notes</w:t>
      </w:r>
      <w:r>
        <w:rPr>
          <w:rFonts w:ascii="Times New Roman" w:hAnsi="Times New Roman"/>
          <w:sz w:val="20"/>
        </w:rPr>
        <w:t xml:space="preserve">. To Exchange a beneficial interest in a Global Note that is Exchangeable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owner of such beneficial interest must (1) comply with the Depositary Procedures for Exchanging such beneficial interest (at which time such Exchange will become irrevocable); and (2)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Physical Notes</w:t>
      </w:r>
      <w:r>
        <w:rPr>
          <w:rFonts w:ascii="Times New Roman" w:hAnsi="Times New Roman"/>
          <w:sz w:val="20"/>
        </w:rPr>
        <w:t xml:space="preserve">. To Exchange all or a portion of a Physical Note that is Exchangeable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the Holder of such Note must (1) complete, manually sign and deliver to the Exchange Agent the Exchange Notice attached to such Physical Note or a facsimile of such Exchange Notice; (2) deliver such Physical Note to the Exchange Agent (at which time such Exchange will become irrevocable); (3) furnish any endorsements and transfer documents that the Company or the Exchange Agent may require; and (4) pay any amounts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Exchanging a Note</w:t>
      </w:r>
      <w:r>
        <w:rPr>
          <w:rFonts w:ascii="Times New Roman" w:hAnsi="Times New Roman"/>
          <w:sz w:val="20"/>
        </w:rPr>
        <w:t xml:space="preserve">. At the Close of Business on the Exchange Date for a Note (or any portion thereof) to be Exchanged, such Note (or such portion) will (unless there occurs a Default in the delivery of the Exchange Consideration or interest due,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w:t>
      </w:r>
      <w:r>
        <w:rPr>
          <w:rFonts w:ascii="Times New Roman" w:hAnsi="Times New Roman"/>
          <w:sz w:val="20"/>
        </w:rPr>
        <w:t xml:space="preserve"> or </w:t>
      </w:r>
      <w:r>
        <w:rPr>
          <w:rFonts w:ascii="Times New Roman" w:hAnsi="Times New Roman"/>
          <w:b/>
          <w:sz w:val="20"/>
        </w:rPr>
        <w:t>5.02(D)</w:t>
      </w:r>
      <w:r>
        <w:rPr>
          <w:rFonts w:ascii="Times New Roman" w:hAnsi="Times New Roman"/>
          <w:sz w:val="20"/>
        </w:rPr>
        <w:t xml:space="preserve">, upon such Exchange) be deemed to cease to be outstanding (and, for the avoidance of doubt, no Person will be deemed to be a Holder of such Note (or such portion thereof) as of the Close of Business on such Exchange Date),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Holder of Record of Exchange Shares</w:t>
      </w:r>
      <w:r>
        <w:rPr>
          <w:rFonts w:ascii="Times New Roman" w:hAnsi="Times New Roman"/>
          <w:sz w:val="20"/>
        </w:rPr>
        <w:t xml:space="preserve">. The Person in whose name any share of Common Stock is issuable upon Exchange of any Note will be deemed to become the holder of record of such share as of the Close of Business on the last VWAP Trading Day of the Observation Period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Interest Payable Upon Exchange in Certain Circumstances</w:t>
      </w:r>
      <w:r>
        <w:rPr>
          <w:rFonts w:ascii="Times New Roman" w:hAnsi="Times New Roman"/>
          <w:sz w:val="20"/>
        </w:rPr>
        <w:t xml:space="preserve">. If the Exchange Date of a Note is after a Regular Record Date and before the next Interest Payment Date, then (i) the Holder of such Note at the Close of Business on such Regular Record Date will be entitled, notwithstanding such Exchange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Exchange must deliver to the Exchange Agent, at the time of such surrender, an amount of cash equal to the amount of such interest referred to in </w:t>
      </w:r>
      <w:r>
        <w:rPr>
          <w:rFonts w:ascii="Times New Roman" w:hAnsi="Times New Roman"/>
          <w:b/>
          <w:sz w:val="20"/>
        </w:rPr>
        <w:t>clause (i)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 surrendering such Note for Exchange need not deliver such cash (v) if the Company has specified a Redemption Date that is after such Regular Record Date and on or before the second (2nd) Business Day immediately after such Interest Payment Date; (w) if such Exchange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Additional Interest, Special Interest, overdue interest or interest that has accrued on any overdue interest. For the avoidance of doubt, as a result of, and without limiting the generality of, the foregoing, if a Note is Exchanged with an Exchange Date that is after the Regular Record Date immediately before the Maturity Date, then the Company will pay, as provided above, the interest that would have accrued on such Note to, but excluding, the Maturity Date. For the avoidance of doubt, if the Exchange Date of a Note to be Exchanged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Exchange, need not be accompanied by any cash amount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Taxes and Duties</w:t>
      </w:r>
      <w:r>
        <w:rPr>
          <w:rFonts w:ascii="Times New Roman" w:hAnsi="Times New Roman"/>
          <w:sz w:val="20"/>
        </w:rPr>
        <w:t xml:space="preserve">. If a Holder Exchanges a Note, the Company will pay any documentary, stamp or similar issue or transfer tax or duty due on the issue or delivery of any shares of Common Stock upon such Exchange;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tax or duty is due because such Holder requested such shares to be registered in a name other than such Holder’s name, then such Holder will pay such tax or duty and, until having received a sum sufficient to pay such tax or duty, the Exchange Agent may refuse to deliver any such shares to be issued in a name other than that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Exchange Agent to Notify Company of Exchanges</w:t>
      </w:r>
      <w:r>
        <w:rPr>
          <w:rFonts w:ascii="Times New Roman" w:hAnsi="Times New Roman"/>
          <w:sz w:val="20"/>
        </w:rPr>
        <w:t xml:space="preserve">. If any Note is submitted for Exchange to the Exchange Agent or the Exchange Agent receives any notice of Exchange with respect to a Note, then the Exchange Agent will promptly notify the Company and the Trustee of such occurrence, together with any other information reasonably requested by the Company, and will cooperate with the Company to determine the Exchange Date for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5.03 SETTLEMENT UPON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Settlement Method</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5.03(D)</w:t>
      </w:r>
      <w:r>
        <w:rPr>
          <w:rFonts w:ascii="Times New Roman" w:hAnsi="Times New Roman"/>
          <w:sz w:val="20"/>
        </w:rPr>
        <w:t xml:space="preserve">, upon the Exchange of any Note, the Company will settle such Exchange by paying or delivering, as applicable and as provided in this </w:t>
      </w:r>
      <w:r>
        <w:rPr>
          <w:rFonts w:ascii="Times New Roman" w:hAnsi="Times New Roman"/>
          <w:b/>
          <w:sz w:val="20"/>
        </w:rPr>
        <w:t>Article 5</w:t>
      </w:r>
      <w:r>
        <w:rPr>
          <w:rFonts w:ascii="Times New Roman" w:hAnsi="Times New Roman"/>
          <w:sz w:val="20"/>
        </w:rPr>
        <w:t xml:space="preserve">, either (x) solely cash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5.03(B)(i)(1)</w:t>
      </w:r>
      <w:r>
        <w:rPr>
          <w:rFonts w:ascii="Times New Roman" w:hAnsi="Times New Roman"/>
          <w:sz w:val="20"/>
        </w:rPr>
        <w:t xml:space="preserve"> (a “</w:t>
      </w:r>
      <w:r>
        <w:rPr>
          <w:rFonts w:ascii="Times New Roman" w:hAnsi="Times New Roman"/>
          <w:b/>
          <w:sz w:val="20"/>
        </w:rPr>
        <w:t>Cash Settlement</w:t>
      </w:r>
      <w:r>
        <w:rPr>
          <w:rFonts w:ascii="Times New Roman" w:hAnsi="Times New Roman"/>
          <w:sz w:val="20"/>
        </w:rPr>
        <w:t xml:space="preserve">”); or (y) a combination of cash and shares of Common Stock, together, if applicable, with cash in lieu of fractional shares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5.03(B)(i)(2)</w:t>
      </w:r>
      <w:r>
        <w:rPr>
          <w:rFonts w:ascii="Times New Roman" w:hAnsi="Times New Roman"/>
          <w:sz w:val="20"/>
        </w:rPr>
        <w:t xml:space="preserve"> (a “</w:t>
      </w:r>
      <w:r>
        <w:rPr>
          <w:rFonts w:ascii="Times New Roman" w:hAnsi="Times New Roman"/>
          <w:b/>
          <w:sz w:val="20"/>
        </w:rPr>
        <w:t>Combination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The Company’s Right to Elect Settlement Method</w:t>
      </w:r>
      <w:r>
        <w:rPr>
          <w:rFonts w:ascii="Times New Roman" w:hAnsi="Times New Roman"/>
          <w:sz w:val="20"/>
        </w:rPr>
        <w:t xml:space="preserve">. The Company will have the right to elect the Settlement Method applicable to any Exchange of a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subject to </w:t>
      </w:r>
      <w:r>
        <w:rPr>
          <w:rFonts w:ascii="Times New Roman" w:hAnsi="Times New Roman"/>
          <w:b/>
          <w:sz w:val="20"/>
        </w:rPr>
        <w:t>clause (3)</w:t>
      </w:r>
      <w:r>
        <w:rPr>
          <w:rFonts w:ascii="Times New Roman" w:hAnsi="Times New Roman"/>
          <w:sz w:val="20"/>
        </w:rPr>
        <w:t xml:space="preserve"> below, all Exchanges of Notes with an Exchange Date that occurs on or after November 1, 2030 will be settled using the same Settlement Method, and the Company will deliver a written notice of such Settlement Method to Holders, the Trustee and the Exchange Agent no later than the Open of Business on November 1,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subject to </w:t>
      </w:r>
      <w:r>
        <w:rPr>
          <w:rFonts w:ascii="Times New Roman" w:hAnsi="Times New Roman"/>
          <w:b/>
          <w:sz w:val="20"/>
        </w:rPr>
        <w:t>clause (3)</w:t>
      </w:r>
      <w:r>
        <w:rPr>
          <w:rFonts w:ascii="Times New Roman" w:hAnsi="Times New Roman"/>
          <w:sz w:val="20"/>
        </w:rPr>
        <w:t xml:space="preserve"> below, if the Company elects a Settlement Method with respect to the Exchange of any Note whose Exchange Date occurs before November 1, 2030, then the Company will deliver a written notice of such Settlement Method to the Holder of such Note, the Trustee and the Exchange Agent no later than the Close of Business on the Business Day immediately after such Exchange Date; </w:t>
      </w:r>
    </w:p>
    <w:p>
      <w:pPr>
        <w:pStyle w:val="TextBody"/>
        <w:bidi w:val="0"/>
        <w:spacing w:before="120" w:after="0"/>
        <w:jc w:val="left"/>
        <w:rPr>
          <w:rFonts w:ascii="Times New Roman" w:hAnsi="Times New Roman"/>
          <w:sz w:val="20"/>
        </w:rPr>
      </w:pPr>
      <w:r>
        <w:rPr>
          <w:rFonts w:ascii="Times New Roman" w:hAnsi="Times New Roman"/>
          <w:sz w:val="20"/>
        </w:rPr>
        <w:t xml:space="preserve">(3) 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the Settlement Method that will apply to all Exchanges of Notes with an Exchange Date that occurs on or after the related Redemption Notice Date and on or before the second (2nd) Business Day before the related Redemption Date; and (b) if such Redemption Date occurs on or after November 1, 2030, then such Settlement Method must be the same Settlement Method that, pursuant to </w:t>
      </w:r>
      <w:r>
        <w:rPr>
          <w:rFonts w:ascii="Times New Roman" w:hAnsi="Times New Roman"/>
          <w:b/>
          <w:sz w:val="20"/>
        </w:rPr>
        <w:t>clause (1)</w:t>
      </w:r>
      <w:r>
        <w:rPr>
          <w:rFonts w:ascii="Times New Roman" w:hAnsi="Times New Roman"/>
          <w:sz w:val="20"/>
        </w:rPr>
        <w:t xml:space="preserve"> above, applies to all Exchanges of Notes with an Exchange Date that occurs on or after November 1, 2030; </w:t>
      </w:r>
    </w:p>
    <w:p>
      <w:pPr>
        <w:pStyle w:val="TextBody"/>
        <w:bidi w:val="0"/>
        <w:spacing w:before="120" w:after="0"/>
        <w:jc w:val="left"/>
        <w:rPr>
          <w:rFonts w:ascii="Times New Roman" w:hAnsi="Times New Roman"/>
          <w:sz w:val="20"/>
        </w:rPr>
      </w:pPr>
      <w:r>
        <w:rPr>
          <w:rFonts w:ascii="Times New Roman" w:hAnsi="Times New Roman"/>
          <w:sz w:val="20"/>
        </w:rPr>
        <w:t xml:space="preserve">(4) the Company will use the same Settlement Method for all Exchanges of Notes with the same Exchange Date (and, for the avoidance of doubt, the Company will not be obligated to use the same Settlement Method with respect to Exchanges of Notes with different Exchange Dates, except as provided in </w:t>
      </w:r>
      <w:r>
        <w:rPr>
          <w:rFonts w:ascii="Times New Roman" w:hAnsi="Times New Roman"/>
          <w:b/>
          <w:sz w:val="20"/>
        </w:rPr>
        <w:t>clause (1)</w:t>
      </w:r>
      <w:r>
        <w:rPr>
          <w:rFonts w:ascii="Times New Roman" w:hAnsi="Times New Roman"/>
          <w:sz w:val="20"/>
        </w:rPr>
        <w:t xml:space="preserve"> or </w:t>
      </w:r>
      <w:r>
        <w:rPr>
          <w:rFonts w:ascii="Times New Roman" w:hAnsi="Times New Roman"/>
          <w:b/>
          <w:sz w:val="20"/>
        </w:rPr>
        <w:t>(3)</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(5) if the Company does not timely elect a Settlement Method with respect to the Exchange of a Note, then the Company will be deemed to have elected the Default Settlement Method (and, for the avoidance of doubt, the failure to timely make such election will not constitute a Default or Event of Default); and </w:t>
      </w:r>
    </w:p>
    <w:p>
      <w:pPr>
        <w:pStyle w:val="TextBody"/>
        <w:bidi w:val="0"/>
        <w:spacing w:before="120" w:after="0"/>
        <w:jc w:val="left"/>
        <w:rPr>
          <w:rFonts w:ascii="Times New Roman" w:hAnsi="Times New Roman"/>
          <w:sz w:val="20"/>
        </w:rPr>
      </w:pPr>
      <w:r>
        <w:rPr>
          <w:rFonts w:ascii="Times New Roman" w:hAnsi="Times New Roman"/>
          <w:sz w:val="20"/>
        </w:rPr>
        <w:t xml:space="preserve">(6) if the Company timely elects Combination Settlement with respect to the Exchange of a Note but does not timely notify the Holder of such Note of the applicable Specified Dollar Amount, then the Specified Dollar Amount for such Exchange will be deemed to be $1,000 per $1,000 principal amount of Notes (and, for the avoidance of doubt, the failure to timely send such notification will not constitute a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At or before the time the Company sends any notice referred to in the preceding sentence, the Company will send a copy of such notice to the Trustee and the Exchange Agent, but the failure to timely send such copy will not affect the validity of any Settlement Method election.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The Company’s Right to Irrevocably Fix or Eliminate Settlement Methods</w:t>
      </w:r>
      <w:r>
        <w:rPr>
          <w:rFonts w:ascii="Times New Roman" w:hAnsi="Times New Roman"/>
          <w:sz w:val="20"/>
        </w:rPr>
        <w:t xml:space="preserve">. The Company will have the right, exercisable at its election by delivering written notice of such exercise to the Holders (with a copy to the Trustee and the Exchange Agent), to (1) irrevocably fix the Settlement Method that will apply to all Exchanges of Notes with an Exchange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Exchanges of Notes with an Exchange Date that occurs on or after the date such notice is sent to Holders, </w:t>
      </w:r>
      <w:r>
        <w:rPr>
          <w:rFonts w:ascii="Times New Roman" w:hAnsi="Times New Roman"/>
          <w:i/>
          <w:sz w:val="20"/>
        </w:rPr>
        <w:t>provided</w:t>
      </w:r>
      <w:r>
        <w:rPr>
          <w:rFonts w:ascii="Times New Roman" w:hAnsi="Times New Roman"/>
          <w:sz w:val="20"/>
        </w:rPr>
        <w:t xml:space="preserve">, in each case, that (v) in no event will the Company elect (whether directly or by eliminating all other Settlement Methods) Combination Settlement with a Specified Dollar Amount that is less than $1,000 per $1,000 principal amount of Notes; (w) the Settlement Method so elected pursuant to </w:t>
      </w:r>
      <w:r>
        <w:rPr>
          <w:rFonts w:ascii="Times New Roman" w:hAnsi="Times New Roman"/>
          <w:b/>
          <w:sz w:val="20"/>
        </w:rPr>
        <w:t>clause (1)</w:t>
      </w:r>
      <w:r>
        <w:rPr>
          <w:rFonts w:ascii="Times New Roman" w:hAnsi="Times New Roman"/>
          <w:sz w:val="20"/>
        </w:rPr>
        <w:t xml:space="preserve"> above, or the Settlement Method(s) remaining after any elimination pursuant to </w:t>
      </w:r>
      <w:r>
        <w:rPr>
          <w:rFonts w:ascii="Times New Roman" w:hAnsi="Times New Roman"/>
          <w:b/>
          <w:sz w:val="20"/>
        </w:rPr>
        <w:t>clause (2)</w:t>
      </w:r>
      <w:r>
        <w:rPr>
          <w:rFonts w:ascii="Times New Roman" w:hAnsi="Times New Roman"/>
          <w:sz w:val="20"/>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(x) no such irrevocable election will affect any Settlement Method theretofore elected (or deemed to be elected) with respect to any Note pursuant to this Indenture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or this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(y) upon any such irrevocable election pursuant to </w:t>
      </w:r>
      <w:r>
        <w:rPr>
          <w:rFonts w:ascii="Times New Roman" w:hAnsi="Times New Roman"/>
          <w:b/>
          <w:sz w:val="20"/>
        </w:rPr>
        <w:t>clause (1)</w:t>
      </w:r>
      <w:r>
        <w:rPr>
          <w:rFonts w:ascii="Times New Roman" w:hAnsi="Times New Roman"/>
          <w:sz w:val="20"/>
        </w:rPr>
        <w:t xml:space="preserve"> above, the Default Settlement Method will automatically be deemed to be set to the Settlement Method so fixed; and (z) upon any such irrevocable election pursuant to </w:t>
      </w:r>
      <w:r>
        <w:rPr>
          <w:rFonts w:ascii="Times New Roman" w:hAnsi="Times New Roman"/>
          <w:b/>
          <w:sz w:val="20"/>
        </w:rPr>
        <w:t>clause (2)</w:t>
      </w:r>
      <w:r>
        <w:rPr>
          <w:rFonts w:ascii="Times New Roman" w:hAnsi="Times New Roman"/>
          <w:sz w:val="20"/>
        </w:rPr>
        <w:t xml:space="preserve"> above, the Company will, if needed, simultaneously change the Default Settlement Method to a Settlement Method that is consistent with such irrevocable election. Such notice, if sent, must set forth the applicable Settlement Method(s) so elected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eliminated, as applicable, and the Default Settlement Method applicable immediately after such election, and expressly state that the election is irrevocable and applicable to all Exchanges of Notes with an Exchange Date that occurs on or after the date such notice is sent to Holders. For the avoidance of doubt, such an irrevocable election, if made, will be effective without the need to amend this Indenture or the Notes,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(it being understood, however, that the Company may nonetheless choose to execute such an amendment at its option).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Requirement to Publicly Disclose the Fixed or Default Settlement Method.</w:t>
      </w:r>
      <w:r>
        <w:rPr>
          <w:rFonts w:ascii="Times New Roman" w:hAnsi="Times New Roman"/>
          <w:sz w:val="20"/>
        </w:rPr>
        <w:t xml:space="preserve"> If the Company changes the Default Settlement Method pursuant to </w:t>
      </w:r>
      <w:r>
        <w:rPr>
          <w:rFonts w:ascii="Times New Roman" w:hAnsi="Times New Roman"/>
          <w:b/>
          <w:sz w:val="20"/>
        </w:rPr>
        <w:t>clause (x)</w:t>
      </w:r>
      <w:r>
        <w:rPr>
          <w:rFonts w:ascii="Times New Roman" w:hAnsi="Times New Roman"/>
          <w:sz w:val="20"/>
        </w:rPr>
        <w:t xml:space="preserve"> of the proviso to the definition of such term or irrevocably fixes the Settlement Method(s)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5.03(A)(ii)</w:t>
      </w:r>
      <w:r>
        <w:rPr>
          <w:rFonts w:ascii="Times New Roman" w:hAnsi="Times New Roman"/>
          <w:sz w:val="20"/>
        </w:rPr>
        <w:t xml:space="preserve">, then the Parent Guarantor or the Company will, substantially concurrently therewith, either post the Default Settlement Method or fixed Settlement Method(s), as applicable, on the Parent Guarantor’s or the Company’s website or disclose the same in a Current Report on Form 8-K (or any successor form) that is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(B) Exchange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 5.01(D)</w:t>
      </w:r>
      <w:r>
        <w:rPr>
          <w:rFonts w:ascii="Times New Roman" w:hAnsi="Times New Roman"/>
          <w:sz w:val="20"/>
        </w:rPr>
        <w:t xml:space="preserve">, </w:t>
      </w:r>
      <w:r>
        <w:rPr>
          <w:rFonts w:ascii="Times New Roman" w:hAnsi="Times New Roman"/>
          <w:b/>
          <w:sz w:val="20"/>
        </w:rPr>
        <w:t>5.03(B)(ii)</w:t>
      </w:r>
      <w:r>
        <w:rPr>
          <w:rFonts w:ascii="Times New Roman" w:hAnsi="Times New Roman"/>
          <w:sz w:val="20"/>
        </w:rPr>
        <w:t xml:space="preserve">, </w:t>
      </w:r>
      <w:r>
        <w:rPr>
          <w:rFonts w:ascii="Times New Roman" w:hAnsi="Times New Roman"/>
          <w:b/>
          <w:sz w:val="20"/>
        </w:rPr>
        <w:t>5.03(B)(iii)</w:t>
      </w:r>
      <w:r>
        <w:rPr>
          <w:rFonts w:ascii="Times New Roman" w:hAnsi="Times New Roman"/>
          <w:sz w:val="20"/>
        </w:rPr>
        <w:t xml:space="preserve"> and </w:t>
      </w:r>
      <w:r>
        <w:rPr>
          <w:rFonts w:ascii="Times New Roman" w:hAnsi="Times New Roman"/>
          <w:b/>
          <w:sz w:val="20"/>
        </w:rPr>
        <w:t>5.09(A)(2)</w:t>
      </w:r>
      <w:r>
        <w:rPr>
          <w:rFonts w:ascii="Times New Roman" w:hAnsi="Times New Roman"/>
          <w:sz w:val="20"/>
        </w:rPr>
        <w:t>, the type and amount of consideration (the “</w:t>
      </w:r>
      <w:r>
        <w:rPr>
          <w:rFonts w:ascii="Times New Roman" w:hAnsi="Times New Roman"/>
          <w:b/>
          <w:sz w:val="20"/>
        </w:rPr>
        <w:t>Exchange Consideration</w:t>
      </w:r>
      <w:r>
        <w:rPr>
          <w:rFonts w:ascii="Times New Roman" w:hAnsi="Times New Roman"/>
          <w:sz w:val="20"/>
        </w:rPr>
        <w:t xml:space="preserve">”) due in respect of each $1,000 principal amount of a Note to be Exchanged will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Cash Settlement applies to such Exchange, cash in an amount equal to the sum of the Daily Exchange Values for each VWAP Trading Day in the Observation Period for such Exchange; or </w:t>
      </w:r>
    </w:p>
    <w:p>
      <w:pPr>
        <w:pStyle w:val="TextBody"/>
        <w:bidi w:val="0"/>
        <w:spacing w:before="120" w:after="0"/>
        <w:jc w:val="left"/>
        <w:rPr>
          <w:rFonts w:ascii="Times New Roman" w:hAnsi="Times New Roman"/>
          <w:sz w:val="20"/>
        </w:rPr>
      </w:pPr>
      <w:r>
        <w:rPr>
          <w:rFonts w:ascii="Times New Roman" w:hAnsi="Times New Roman"/>
          <w:sz w:val="20"/>
        </w:rPr>
        <w:t xml:space="preserve">(2) if Combination Settlement applies to such Exchange, consideration consisting of (a) a number of shares of Common Stock equal to the sum of the Daily Share Amounts for each VWAP Trading Day in the Observation Period for such Exchange; and (b) an amount of cash equal to the sum of the Daily Cash Amounts for each VWAP Trading Day in such Observation Period.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Cash in Lieu of Fractional Shares</w:t>
      </w:r>
      <w:r>
        <w:rPr>
          <w:rFonts w:ascii="Times New Roman" w:hAnsi="Times New Roman"/>
          <w:sz w:val="20"/>
        </w:rPr>
        <w:t xml:space="preserve">. If Combination Settlement applies to the Exchange of any Note and the number of shares of Common Stock deliverable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5.03(B)(i)</w:t>
      </w:r>
      <w:r>
        <w:rPr>
          <w:rFonts w:ascii="Times New Roman" w:hAnsi="Times New Roman"/>
          <w:sz w:val="20"/>
        </w:rPr>
        <w:t xml:space="preserve"> upon such Exchange is not a whole number, then such number will be rounded down to the nearest whole number and the Company will deliver, in addition to the other consideration due upon such Exchange, cash in lieu of the related fractional share in an amount equal to the product of (1) such fraction and (2) the Daily VWAP on the last VWAP Trading Day of the Observation Period for such Exchange.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Exchange of Multiple Notes by a Single Holder</w:t>
      </w:r>
      <w:r>
        <w:rPr>
          <w:rFonts w:ascii="Times New Roman" w:hAnsi="Times New Roman"/>
          <w:sz w:val="20"/>
        </w:rPr>
        <w:t xml:space="preserve">. If a Holder Exchanges more than one (1) Note on a single Exchange Date, then the Exchange Consideration due in respect of such Exchange will (in the case of any Global Note, to the extent permitted by, and practicable under, the Depositary Procedures) be computed based on the total principal amount of Notes Exchanged on such Exchange Date by such Holder.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Notice of Calculation of Exchange Consideration</w:t>
      </w:r>
      <w:r>
        <w:rPr>
          <w:rFonts w:ascii="Times New Roman" w:hAnsi="Times New Roman"/>
          <w:sz w:val="20"/>
        </w:rPr>
        <w:t xml:space="preserve">. If any Note is to be Exchanged, then the Company will determine the Exchange Consideration due thereupon promptly following the last VWAP Trading Day of the applicable Observation Period and will promptly thereafter deliver a written notice to the Trustee and the Exchange Agent of the same and the calculation thereof in reasonable detail. Neither the Trustee nor the Exchange Agent will have any duty or obligation to make and/or verify any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Delivery of the Exchange Consideration</w:t>
      </w:r>
      <w:r>
        <w:rPr>
          <w:rFonts w:ascii="Times New Roman" w:hAnsi="Times New Roman"/>
          <w:sz w:val="20"/>
        </w:rPr>
        <w:t xml:space="preserve">. Except as set forth in </w:t>
      </w:r>
      <w:r>
        <w:rPr>
          <w:rFonts w:ascii="Times New Roman" w:hAnsi="Times New Roman"/>
          <w:b/>
          <w:sz w:val="20"/>
        </w:rPr>
        <w:t>Sections 5.01(D)</w:t>
      </w:r>
      <w:r>
        <w:rPr>
          <w:rFonts w:ascii="Times New Roman" w:hAnsi="Times New Roman"/>
          <w:sz w:val="20"/>
        </w:rPr>
        <w:t xml:space="preserve">, </w:t>
      </w:r>
      <w:r>
        <w:rPr>
          <w:rFonts w:ascii="Times New Roman" w:hAnsi="Times New Roman"/>
          <w:b/>
          <w:sz w:val="20"/>
        </w:rPr>
        <w:t>5.05(D)</w:t>
      </w:r>
      <w:r>
        <w:rPr>
          <w:rFonts w:ascii="Times New Roman" w:hAnsi="Times New Roman"/>
          <w:sz w:val="20"/>
        </w:rPr>
        <w:t xml:space="preserve"> and </w:t>
      </w:r>
      <w:r>
        <w:rPr>
          <w:rFonts w:ascii="Times New Roman" w:hAnsi="Times New Roman"/>
          <w:b/>
          <w:sz w:val="20"/>
        </w:rPr>
        <w:t>5.09</w:t>
      </w:r>
      <w:r>
        <w:rPr>
          <w:rFonts w:ascii="Times New Roman" w:hAnsi="Times New Roman"/>
          <w:sz w:val="20"/>
        </w:rPr>
        <w:t xml:space="preserve">, the Company will pay or deliver, as applicable, the Exchange Consideration due upon the Exchange of any Note to the Holder on or before the second (2nd) Business Day immediately after the last VWAP Trading Day of the Observation Period for such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Deemed Payment of Principal and Interest; Settlement of Accrued Interest Notwithstanding Exchange</w:t>
      </w:r>
      <w:r>
        <w:rPr>
          <w:rFonts w:ascii="Times New Roman" w:hAnsi="Times New Roman"/>
          <w:sz w:val="20"/>
        </w:rPr>
        <w:t xml:space="preserve">. If a Holder Exchanges a Note, then the Company will not adjust the Exchange Rate to account for any accrued and unpaid interest on such Note, and,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the Company’s delivery of the Exchange Consideration due in respect of such Exchange will be deemed to fully satisfy and discharge the Company’s obligation to pay the principal of, and accrued and unpaid interest, if any, on, such Note to, but excluding the Exchange Date. As a result,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any accrued and unpaid interest on an Exchanged Note will be deemed to be paid in full rather than cancelled, extinguished or forfeited. In addition, subject to </w:t>
      </w:r>
      <w:r>
        <w:rPr>
          <w:rFonts w:ascii="Times New Roman" w:hAnsi="Times New Roman"/>
          <w:b/>
          <w:sz w:val="20"/>
        </w:rPr>
        <w:t>Section</w:t>
      </w:r>
      <w:r>
        <w:rPr>
          <w:rFonts w:ascii="Times New Roman" w:hAnsi="Times New Roman"/>
          <w:sz w:val="20"/>
        </w:rPr>
        <w:t> </w:t>
      </w:r>
      <w:r>
        <w:rPr>
          <w:rFonts w:ascii="Times New Roman" w:hAnsi="Times New Roman"/>
          <w:b/>
          <w:sz w:val="20"/>
        </w:rPr>
        <w:t>5.02(D)</w:t>
      </w:r>
      <w:r>
        <w:rPr>
          <w:rFonts w:ascii="Times New Roman" w:hAnsi="Times New Roman"/>
          <w:sz w:val="20"/>
        </w:rPr>
        <w:t xml:space="preserve">, if the Exchange Consideration for a Note consists of both cash and shares of Common Stock, then accrued and unpaid interest that is deemed to be paid therewith will be deemed to be paid first out of such cash.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Exchanges during 3(a)(9) Period</w:t>
      </w:r>
      <w:r>
        <w:rPr>
          <w:rFonts w:ascii="Times New Roman" w:hAnsi="Times New Roman"/>
          <w:sz w:val="20"/>
        </w:rPr>
        <w:t xml:space="preserve">. If the Exchange Consideration due upon an Exchange of Notes during a 3(a)(9) Period includes shares of Common Stock (or other securities), the Company and the Parent Guarantor will cause such securities to be delivered without a “restricted” CUSIP or ISIN number and without a restricted security legend, unless the use of such a “restricted” CUSIP or ISIN number or restricted security legend is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5.04 RESERVE AND STATUS OF COMMON STOCK ISSUED UPON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 Reserve</w:t>
      </w:r>
      <w:r>
        <w:rPr>
          <w:rFonts w:ascii="Times New Roman" w:hAnsi="Times New Roman"/>
          <w:sz w:val="20"/>
        </w:rPr>
        <w:t xml:space="preserve">. At all times when any Notes are outstanding, the Parent Guarantor will reserve (out of its authorized and not outstanding shares of Common Stock that are not reserved for other purposes) a number of shares of Common Stock equal to the product of (i) the aggregate principal amount (expressed in thousands) of all then-outstanding Notes; and (ii) the Exchange Rate then in effect (assuming, for these purposes, that the Exchange Rate is increased by the maximum amount pursuant to which the Exchange Rate may be increased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the extent the Company delivers shares of Common Stock held in the Parent Guarantor’s treasury in settlement of the Exchange of any Notes, each reference in this Indenture or the Notes to the issuance of shares of Common Stock in connection therewith will be deemed to include such delivery,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Status of Exchange Shares; Listing</w:t>
      </w:r>
      <w:r>
        <w:rPr>
          <w:rFonts w:ascii="Times New Roman" w:hAnsi="Times New Roman"/>
          <w:sz w:val="20"/>
        </w:rPr>
        <w:t xml:space="preserve">. Each Exchange Share, if any, delivered upon Exchange of any Note will be a newly issued or treasury share (except that any Exchange Share delivered by a designated financial institution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5.08 </w:t>
      </w:r>
      <w:r>
        <w:rPr>
          <w:rFonts w:ascii="Times New Roman" w:hAnsi="Times New Roman"/>
          <w:sz w:val="20"/>
        </w:rPr>
        <w:t xml:space="preserve">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Exchange Share will be delivered). If the Common Stock is then listed on any securities exchange, or quoted on any inter-dealer quotation system, then the Company will use commercially reasonable efforts to cause each Exchange Share, when delivered upon Exchange of any Note, to be admitted for listing on such exchange or quotation on such system.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5.05 ADJUSTMENTS TO THE EXCHANGE RATE.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Events Requiring an Adjustment to the Exchange Rate</w:t>
      </w:r>
      <w:r>
        <w:rPr>
          <w:rFonts w:ascii="Times New Roman" w:hAnsi="Times New Roman"/>
          <w:sz w:val="20"/>
        </w:rPr>
        <w:t xml:space="preserve">. The Exchange Rate will be adjusted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Stock Dividends, Splits and Combinations</w:t>
      </w:r>
      <w:r>
        <w:rPr>
          <w:rFonts w:ascii="Times New Roman" w:hAnsi="Times New Roman"/>
          <w:sz w:val="20"/>
        </w:rPr>
        <w:t xml:space="preserve">. If the Parent Guarantor issues solely shares of Common Stock as a dividend or distribution on all or substantially all shares of the Common Stock, or if the Parent Guarantor effects a stock split or a stock combination of the Common Stock (in each case excluding an issuance solely pursuant to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then the Exchange Rate will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2905" cy="668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2905" cy="6686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ER0</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Open of Business on the Ex-Dividend Date for such dividend or distribution, or immediately before the Open of Business on the effective date of such stock split or stock combination,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Open of Business on such Ex-Dividend Date or effective date,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OS0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before the Open of Business on such Ex-Dividend Date or effective date, as applicable, without giving effect to such dividend, distribution, stock split or stock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OS1</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after giving effect to such dividend, distribution, stock split or stock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dividend, distribution, stock split or stock combination of the type described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is declared or announced, but not so paid or made, then the Exchange Rate will be readjusted, effective as of the date the Parent Guarantor’s Board of Directors determines not to pay such dividend or distribution or to effect such stock split or stock combination, to the Exchange Rate that would then be in effect had such dividend, distribution, stock split or stock combination not been declared or announced.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Rights, Options and Warrants</w:t>
      </w:r>
      <w:r>
        <w:rPr>
          <w:rFonts w:ascii="Times New Roman" w:hAnsi="Times New Roman"/>
          <w:sz w:val="20"/>
        </w:rPr>
        <w:t xml:space="preserve">. If the Parent Guarantor distributes, to all or substantially all holders of Common Stock, rights, options or warrants (other than rights issued or otherwise distributed pursuant to a stockholder rights plan, as to which </w:t>
      </w:r>
      <w:r>
        <w:rPr>
          <w:rFonts w:ascii="Times New Roman" w:hAnsi="Times New Roman"/>
          <w:b/>
          <w:sz w:val="20"/>
        </w:rPr>
        <w:t>Sections 5.05(A)(iii)(1)</w:t>
      </w:r>
      <w:r>
        <w:rPr>
          <w:rFonts w:ascii="Times New Roman" w:hAnsi="Times New Roman"/>
          <w:sz w:val="20"/>
        </w:rPr>
        <w:t xml:space="preserve"> and </w:t>
      </w:r>
      <w:r>
        <w:rPr>
          <w:rFonts w:ascii="Times New Roman" w:hAnsi="Times New Roman"/>
          <w:b/>
          <w:sz w:val="20"/>
        </w:rPr>
        <w:t>5.05(F)</w:t>
      </w:r>
      <w:r>
        <w:rPr>
          <w:rFonts w:ascii="Times New Roman" w:hAnsi="Times New Roman"/>
          <w:sz w:val="20"/>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763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390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Open of Business on the Ex-Dividend Date for such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OS</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before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X</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shares of Common Stock issuable pursuant to such rights, options or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Y</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such rights, options or warrants are not so distributed, the Exchange Rate will be readjusted to the Exchange Rate that would then be in effect had the increase to the Exchange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Exchange Rate will be readjusted to the Exchange Rate that would then be in effect had the increase to the Exchange Rate for such distribution been made on the basis of delivery of only the number of shares of Common Stock actually delivered upon exercise of such rights,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5.05(A)(ii)</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5.01(C)(i)(3)(a)(I)</w:t>
      </w:r>
      <w:r>
        <w:rPr>
          <w:rFonts w:ascii="Times New Roman" w:hAnsi="Times New Roman"/>
          <w:sz w:val="20"/>
        </w:rPr>
        <w:t xml:space="preserve">,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Parent Guarantor receives for such rights, options or warrants and any amount payable on exercise thereof, with the value of such consideration, if not cash, to be determined by the Company in good faith and in a commercially reasonable manner. </w:t>
      </w:r>
    </w:p>
    <w:p>
      <w:pPr>
        <w:pStyle w:val="TextBody"/>
        <w:bidi w:val="0"/>
        <w:spacing w:before="120" w:after="0"/>
        <w:jc w:val="left"/>
        <w:rPr>
          <w:rFonts w:ascii="Times New Roman" w:hAnsi="Times New Roman"/>
          <w:sz w:val="20"/>
        </w:rPr>
      </w:pPr>
      <w:r>
        <w:rPr>
          <w:rFonts w:ascii="Times New Roman" w:hAnsi="Times New Roman"/>
          <w:sz w:val="20"/>
        </w:rPr>
        <w:t xml:space="preserve">(iii) Spin-Offs and Other Distributed Property.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Distributions Other than Spin-Offs</w:t>
      </w:r>
      <w:r>
        <w:rPr>
          <w:rFonts w:ascii="Times New Roman" w:hAnsi="Times New Roman"/>
          <w:sz w:val="20"/>
        </w:rPr>
        <w:t xml:space="preserve">. If the Parent Guarantor distributes shares of its Capital Stock, evidences of its indebtedness or other assets or property of the Parent Guarantor, or rights, options or warrants to acquire Capital Stock of the Parent Guarantor or other securities, to all or substantially all holders of the Common Stock, excluding: </w:t>
      </w:r>
    </w:p>
    <w:p>
      <w:pPr>
        <w:pStyle w:val="TextBody"/>
        <w:bidi w:val="0"/>
        <w:spacing w:before="120" w:after="0"/>
        <w:jc w:val="left"/>
        <w:rPr>
          <w:rFonts w:ascii="Times New Roman" w:hAnsi="Times New Roman"/>
          <w:sz w:val="20"/>
        </w:rPr>
      </w:pPr>
      <w:r>
        <w:rPr>
          <w:rFonts w:ascii="Times New Roman" w:hAnsi="Times New Roman"/>
          <w:sz w:val="20"/>
        </w:rPr>
        <w:t xml:space="preserve">(u) dividends, distributions, rights, options or warrants for which an adjustment to the Exchange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w:t>
      </w:r>
      <w:r>
        <w:rPr>
          <w:rFonts w:ascii="Times New Roman" w:hAnsi="Times New Roman"/>
          <w:b/>
          <w:sz w:val="20"/>
        </w:rPr>
        <w:t>5.05(A)(ii)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dividends or distributions paid exclusively in cash for which an adjustment to the Exchange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rights issued or otherwise distributed pursuant to a stockholder rights plan, except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Spin-Offs for which an adjustment to the Exchange Rate is required (or would be required without regard to </w:t>
      </w:r>
      <w:r>
        <w:rPr>
          <w:rFonts w:ascii="Times New Roman" w:hAnsi="Times New Roman"/>
          <w:b/>
          <w:sz w:val="20"/>
        </w:rPr>
        <w:t>Section</w:t>
      </w:r>
      <w:r>
        <w:rPr>
          <w:rFonts w:ascii="Times New Roman" w:hAnsi="Times New Roman"/>
          <w:sz w:val="20"/>
        </w:rPr>
        <w:t> </w:t>
      </w:r>
      <w:r>
        <w:rPr>
          <w:rFonts w:ascii="Times New Roman" w:hAnsi="Times New Roman"/>
          <w:b/>
          <w:sz w:val="20"/>
        </w:rPr>
        <w:t>5.05(C)</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 a distribution solely pursuant to a tender offer or exchange offer for shares of Common Stock, as to which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5.05(A)(v) </w:t>
      </w:r>
      <w:r>
        <w:rPr>
          <w:rFonts w:ascii="Times New Roman" w:hAnsi="Times New Roman"/>
          <w:sz w:val="20"/>
        </w:rPr>
        <w:t xml:space="preserve">will apply; and </w:t>
      </w:r>
    </w:p>
    <w:p>
      <w:pPr>
        <w:pStyle w:val="TextBody"/>
        <w:bidi w:val="0"/>
        <w:spacing w:before="120" w:after="0"/>
        <w:jc w:val="left"/>
        <w:rPr>
          <w:rFonts w:ascii="Times New Roman" w:hAnsi="Times New Roman"/>
          <w:sz w:val="20"/>
        </w:rPr>
      </w:pPr>
      <w:r>
        <w:rPr>
          <w:rFonts w:ascii="Times New Roman" w:hAnsi="Times New Roman"/>
          <w:sz w:val="20"/>
        </w:rPr>
        <w:t xml:space="preserve">(z) a distribution solely pursuant to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w:t>
      </w:r>
    </w:p>
    <w:p>
      <w:pPr>
        <w:pStyle w:val="TextBody"/>
        <w:bidi w:val="0"/>
        <w:spacing w:before="120" w:after="0"/>
        <w:jc w:val="left"/>
        <w:rPr>
          <w:rFonts w:ascii="Times New Roman" w:hAnsi="Times New Roman"/>
          <w:sz w:val="20"/>
        </w:rPr>
      </w:pPr>
      <w:r>
        <w:rPr>
          <w:rFonts w:ascii="Times New Roman" w:hAnsi="Times New Roman"/>
          <w:sz w:val="20"/>
        </w:rPr>
        <w:t xml:space="preserve">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73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Open of Business on the Ex-Dividend Date for such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SP</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Last Reported Sale Prices per share of Common Stock for the ten (10) consecutive Trading Days ending on, and including, the Trading Day immediately before such Ex-Dividend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FMV</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(as determined by the Company in good faith and in a commercially reasonable manner), as of such Ex-Dividend Date, of the shares of Capital Stock, evidences of indebtedness, assets, property, rights, options or warrants distributed per share of Common Stock pursuant to such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FMV</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Exchange Rate, each Holder will receive, for each $1,000 principal amount of Notes held by such Holder on the record date for such distribution, at the same time and on the same terms as holders of Common Stock, and without having to Exchange such Notes, the amount and kind of shares of Capital Stock, evidences of indebtedness, assets, property, rights, options or warrants that such Holder would have received in such distribution if such Holder had owned, on such record date, a number of shares of Common Stock equal to the Exchange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distribution is not so paid or made, the Exchange Rate will be readjusted to the Exchange Rate that would then be in effect had the adjustment been made on the basis of only the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Spin-Offs</w:t>
      </w:r>
      <w:r>
        <w:rPr>
          <w:rFonts w:ascii="Times New Roman" w:hAnsi="Times New Roman"/>
          <w:sz w:val="20"/>
        </w:rPr>
        <w:t xml:space="preserve">. If the Parent Guarantor distributes or dividends shares of Capital Stock of any class or series, or similar equity interests, of or relating to an Affiliate, a Subsidiary or other business unit of the Parent Guarantor to all or substantially all holders of the Common Stock (other than solely pursuant to (x) a Common Stock Change Event,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will apply; or (y) a tender offer or exchange offer for shares of Common Stock, as to which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will apply), and such Capital Stock or equity interests are listed or quoted (or will be listed or quoted upon the consummation of the transaction) on a U.S. national securities exchange (a “</w:t>
      </w:r>
      <w:r>
        <w:rPr>
          <w:rFonts w:ascii="Times New Roman" w:hAnsi="Times New Roman"/>
          <w:b/>
          <w:sz w:val="20"/>
        </w:rPr>
        <w:t>Spin-Off</w:t>
      </w:r>
      <w:r>
        <w:rPr>
          <w:rFonts w:ascii="Times New Roman" w:hAnsi="Times New Roman"/>
          <w:sz w:val="20"/>
        </w:rPr>
        <w:t xml:space="preserve">”),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64782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47825" cy="409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Close of Business on the last Trading Day of the Spin-Off Valuation Period for such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Close of Business on the last Trading Day of the Spin-Off Valuation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FMV</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(x) the average of the Last Reported Sale Prices per share or unit of the Capital Stock or equity interests distributed in such Spin-Off over the ten (10) consecutive Trading Day period (the “Spin-Off Valuation Period”)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SP</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Last Reported Sale Prices per share of Common Stock for each Trading Day in the Spin-Off Valuation Period.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if any VWAP Trading Day of the Observation Period for a Note to be Exchanged occurs during the Spin-Off Valuation Period for such Spin-Off, then, solely for purposes of determining the Exchange Rate for such VWAP Trading Day for such Exchange, such Spin-Off Valuation Period will be deemed to consist of the Trading Days occurring in the period from, and including, the Ex-Dividend Date for such Spin-Off to, and including, such VWAP Trading Day.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dividend or distribution of the type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5.05(A)(iii)(2)</w:t>
      </w:r>
      <w:r>
        <w:rPr>
          <w:rFonts w:ascii="Times New Roman" w:hAnsi="Times New Roman"/>
          <w:sz w:val="20"/>
        </w:rPr>
        <w:t xml:space="preserve"> is declared but not made or paid, the Exchange Rate will be readjusted to the Exchange Rate that would then be in effect had the adjustment been made on the basis of only the dividend or distribution, if any, actually made or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Cash Dividends or Distributions</w:t>
      </w:r>
      <w:r>
        <w:rPr>
          <w:rFonts w:ascii="Times New Roman" w:hAnsi="Times New Roman"/>
          <w:sz w:val="20"/>
        </w:rPr>
        <w:t xml:space="preserve">. If any cash dividend or distribution is made to all or substantially all holders of Common Stock,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438275"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38275" cy="361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Open of Business on the Ex-Dividend Date for such dividend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i/>
              </w:rPr>
              <w:t>SP</w:t>
            </w:r>
            <w:r>
              <w:rPr/>
              <w:t>      =</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Reported Sale Price per share of Common Stock on the Trading Day immediately before such Ex-Dividend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D</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amount distributed per share of Common Stock in such dividend or distribution;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w:t>
      </w:r>
      <w:r>
        <w:rPr>
          <w:rFonts w:ascii="Times New Roman" w:hAnsi="Times New Roman"/>
          <w:i/>
          <w:sz w:val="20"/>
        </w:rPr>
        <w:t>D</w:t>
      </w:r>
      <w:r>
        <w:rPr>
          <w:rFonts w:ascii="Times New Roman" w:hAnsi="Times New Roman"/>
          <w:sz w:val="20"/>
        </w:rPr>
        <w:t xml:space="preserve"> is equal to or greater than </w:t>
      </w:r>
      <w:r>
        <w:rPr>
          <w:rFonts w:ascii="Times New Roman" w:hAnsi="Times New Roman"/>
          <w:i/>
          <w:sz w:val="20"/>
        </w:rPr>
        <w:t>SP</w:t>
      </w:r>
      <w:r>
        <w:rPr>
          <w:rFonts w:ascii="Times New Roman" w:hAnsi="Times New Roman"/>
          <w:sz w:val="20"/>
        </w:rPr>
        <w:t xml:space="preserve">, then, in lieu of the foregoing adjustment to the Exchange Rate, each Holder will receive, for each $1,000 principal amount of Notes held by such Holder on the record date for such dividend or distribution, at the same time and on the same terms as holders of Common Stock, and without having to Exchange such Notes, the amount of cash that such Holder would have received in such dividend or distribution if such Holder had owned, on such record date, a number of shares of Common Stock equal to the Exchange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dividend or distribution is declared but not made or paid, the Exchange Rate will be readjusted to the Exchange Rate that would then be in effect had the adjustment been made on the basis of only the dividend or distribution, if any, actually made or paid.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Tender Offers or Exchange Offers</w:t>
      </w:r>
      <w:r>
        <w:rPr>
          <w:rFonts w:ascii="Times New Roman" w:hAnsi="Times New Roman"/>
          <w:sz w:val="20"/>
        </w:rPr>
        <w:t>. If the Company, Parent Guarantor or any their respective Subsidiaries makes a payment in respect of a tender offer or 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hAnsi="Times New Roman"/>
          <w:b/>
          <w:sz w:val="20"/>
        </w:rPr>
        <w:t>Expiration Date</w:t>
      </w:r>
      <w:r>
        <w:rPr>
          <w:rFonts w:ascii="Times New Roman" w:hAnsi="Times New Roman"/>
          <w:sz w:val="20"/>
        </w:rPr>
        <w:t xml:space="preserve">”) on which tenders or exchanges may be made pursuant to such tender or exchange offer (as it may be amended), then the Exchange Rate will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2405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2405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before the Close of Business on the last Trading Day of the Tender/Exchange Offer Valuation Period for such tender or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ER1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Rate in effect immediately after the Close of Business on the last Trading Day of the Tender/Exchange Offer Valuation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AC</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value (determined as of the time (the “Expiration Time”) such tender or exchange offer expires by the Company in good faith and in a commercially reasonable manner) of all cash and other consideration paid for shares of Common Stock purchased or exchanged in such tender or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OS0</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before the Expiration Time (including all shares of Common Stock accepted for purchase or exchange in such tender or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OS1</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after the Expiration Time (excluding all shares of Common Stock accepted for purchase or exchange in such tender or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i/>
              </w:rPr>
              <w:t>SP</w:t>
            </w:r>
            <w:r>
              <w:rPr/>
              <w:t>      =</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of the Last Reported Sale Prices per share of Common Stock over the ten (10) consecutive Trading Day period (the “Tender/Exchange Offer Valuation Period”) beginning on, and including, the Trading Day immediately after the Expiration Date;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Exchange Rate will in no event be adjusted down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except to the extent provided in the immediately following paragraph.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if any VWAP Trading Day of the Observation Period for a Note to be Exchanged occurs during the Tender/Exchange Offer Valuation Period for such tender or exchange offer, then, solely for purposes of determining the Exchange Rate for such VWAP Trading Day for such Exchange, such Tender/Exchange Offer Valuation Period will be deemed to consist of the Trading Days occurring in the period from, and including, the Trading Day immediately after the Expiration Date for such tender or exchange offer to, and including, such VWAP Trading Day.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Exchange Rate will be readjusted to the Exchange Rate that would then be in effect had the adjustment been made on the basis of only the purchases or exchanges of shares of Common Stock, if any, actually made, and not rescinded, in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(B) No Adjustments in Certain Cases.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Where Holders Participate in the Transaction or Event Without Exchange</w:t>
      </w:r>
      <w:r>
        <w:rPr>
          <w:rFonts w:ascii="Times New Roman" w:hAnsi="Times New Roman"/>
          <w:sz w:val="20"/>
        </w:rPr>
        <w:t xml:space="preserve">.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not be obligated to adjust the Exchange Rate on account of a transaction or other event otherwise requiring an adjustment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(other than a stock split or combination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5.05(A)(i)</w:t>
      </w:r>
      <w:r>
        <w:rPr>
          <w:rFonts w:ascii="Times New Roman" w:hAnsi="Times New Roman"/>
          <w:sz w:val="20"/>
        </w:rPr>
        <w:t xml:space="preserve"> or a tender or exchange offer of the type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5.05(A)(v)</w:t>
      </w:r>
      <w:r>
        <w:rPr>
          <w:rFonts w:ascii="Times New Roman" w:hAnsi="Times New Roman"/>
          <w:sz w:val="20"/>
        </w:rPr>
        <w:t xml:space="preserve">) if each Holder participates, at the same time and on the same terms as holders of Common Stock, and solely by virtue of being a Holder of Notes, in such transaction or event without having to Exchange such Holder’s Notes and as if such Holder held a number of shares of Common Stock equal to the product of (i) the Exchange Rate in effect on the related record date; and (ii) the aggregate principal amount (expressed in thousands) of Notes held by such Holder on such date.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Certain Events</w:t>
      </w:r>
      <w:r>
        <w:rPr>
          <w:rFonts w:ascii="Times New Roman" w:hAnsi="Times New Roman"/>
          <w:sz w:val="20"/>
        </w:rPr>
        <w:t xml:space="preserve">. The Company will not be required to adjust the Exchange Rate except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Without limiting the foregoing, the Company will not be obligated to adjust the Exchange Rate on account of: </w:t>
      </w:r>
    </w:p>
    <w:p>
      <w:pPr>
        <w:pStyle w:val="TextBody"/>
        <w:bidi w:val="0"/>
        <w:spacing w:before="120" w:after="0"/>
        <w:jc w:val="left"/>
        <w:rPr>
          <w:rFonts w:ascii="Times New Roman" w:hAnsi="Times New Roman"/>
          <w:sz w:val="20"/>
        </w:rPr>
      </w:pPr>
      <w:r>
        <w:rPr>
          <w:rFonts w:ascii="Times New Roman" w:hAnsi="Times New Roman"/>
          <w:sz w:val="20"/>
        </w:rPr>
        <w:t xml:space="preserve">(1) except as otherwise provided in </w:t>
      </w: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the sale of shares of Common Stock for a purchase price that is less than the market price per share of Common Stock or less than the Exchange Price;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of any shares of Common Stock pursuant to any present or future plan providing for the reinvestment of dividends or interest payable on the Parent Guarantor’s securities and the investment of additional optional amounts in shares of Common Stock under any such plan; </w:t>
      </w:r>
    </w:p>
    <w:p>
      <w:pPr>
        <w:pStyle w:val="TextBody"/>
        <w:bidi w:val="0"/>
        <w:spacing w:before="120" w:after="0"/>
        <w:jc w:val="left"/>
        <w:rPr>
          <w:rFonts w:ascii="Times New Roman" w:hAnsi="Times New Roman"/>
          <w:sz w:val="20"/>
        </w:rPr>
      </w:pPr>
      <w:r>
        <w:rPr>
          <w:rFonts w:ascii="Times New Roman" w:hAnsi="Times New Roman"/>
          <w:sz w:val="20"/>
        </w:rPr>
        <w:t xml:space="preserve">(3) the issuance of any shares of Common Stock or options or rights to purchase shares of Common Stock pursuant to any present or future employee, director or consultant benefit plan or program of, or assumed by, the Company, the Parent Guarantor or any of their respective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issuance of any shares of Common Stock pursuant to any option, warrant, right or convertible or exchangeable security of the Company or the Parent Guarantor outstanding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(5) solely a change in the par value of the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(6) accrued and unpaid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 Deferral</w:t>
      </w:r>
      <w:r>
        <w:rPr>
          <w:rFonts w:ascii="Times New Roman" w:hAnsi="Times New Roman"/>
          <w:sz w:val="20"/>
        </w:rPr>
        <w:t xml:space="preserve">. If an adjustment to the Exchange Rate otherwise required by this </w:t>
      </w:r>
      <w:r>
        <w:rPr>
          <w:rFonts w:ascii="Times New Roman" w:hAnsi="Times New Roman"/>
          <w:b/>
          <w:sz w:val="20"/>
        </w:rPr>
        <w:t>Article 5</w:t>
      </w:r>
      <w:r>
        <w:rPr>
          <w:rFonts w:ascii="Times New Roman" w:hAnsi="Times New Roman"/>
          <w:sz w:val="20"/>
        </w:rPr>
        <w:t xml:space="preserve"> would result in a change of less than one percent (1%) to the Exchange Rate, then, notwithstanding anything to the contrary in this </w:t>
      </w:r>
      <w:r>
        <w:rPr>
          <w:rFonts w:ascii="Times New Roman" w:hAnsi="Times New Roman"/>
          <w:b/>
          <w:sz w:val="20"/>
        </w:rPr>
        <w:t>Article 5</w:t>
      </w:r>
      <w:r>
        <w:rPr>
          <w:rFonts w:ascii="Times New Roman" w:hAnsi="Times New Roman"/>
          <w:sz w:val="20"/>
        </w:rPr>
        <w:t xml:space="preserve">,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Exchange Rate; (ii) the Exchange Date of, or any VWAP Trading Day of an Observation Period for, any Note; (iii) the date a Fundamental Change or Make-Whole Fundamental Change occurs; (iv) the date the Company calls any Notes for Redemption; and (v) November 1, 2030.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Adjustments Not Yet Effective</w:t>
      </w:r>
      <w:r>
        <w:rPr>
          <w:rFonts w:ascii="Times New Roman" w:hAnsi="Times New Roman"/>
          <w:sz w:val="20"/>
        </w:rPr>
        <w:t xml:space="preserve">. Notwithstanding anything to the contrary in this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 Note is to be Exchanged pursuant to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 the record date, effective date or Expiration Time for any event that requires an adjustment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has occurred on or before any VWAP Trading Day in the Observation Period for such Exchange, but an adjustment to the Exchange Rate for such event has not yet become effective as of such VWAP Trading Day; </w:t>
      </w:r>
    </w:p>
    <w:p>
      <w:pPr>
        <w:pStyle w:val="TextBody"/>
        <w:bidi w:val="0"/>
        <w:spacing w:before="120" w:after="0"/>
        <w:jc w:val="left"/>
        <w:rPr>
          <w:rFonts w:ascii="Times New Roman" w:hAnsi="Times New Roman"/>
          <w:sz w:val="20"/>
        </w:rPr>
      </w:pPr>
      <w:r>
        <w:rPr>
          <w:rFonts w:ascii="Times New Roman" w:hAnsi="Times New Roman"/>
          <w:sz w:val="20"/>
        </w:rPr>
        <w:t xml:space="preserve">(iii) the Exchange Consideration due in respect of such VWAP Trading Day includes any whole or fractional shares of Common Stock; and </w:t>
      </w:r>
    </w:p>
    <w:p>
      <w:pPr>
        <w:pStyle w:val="TextBody"/>
        <w:bidi w:val="0"/>
        <w:spacing w:before="120" w:after="0"/>
        <w:jc w:val="left"/>
        <w:rPr>
          <w:rFonts w:ascii="Times New Roman" w:hAnsi="Times New Roman"/>
          <w:sz w:val="20"/>
        </w:rPr>
      </w:pPr>
      <w:r>
        <w:rPr>
          <w:rFonts w:ascii="Times New Roman" w:hAnsi="Times New Roman"/>
          <w:sz w:val="20"/>
        </w:rPr>
        <w:t xml:space="preserve">(iv) such shares are not entitled to participate in such event (because they were not held on the related record date or otherwise), </w:t>
      </w:r>
    </w:p>
    <w:p>
      <w:pPr>
        <w:pStyle w:val="TextBody"/>
        <w:bidi w:val="0"/>
        <w:spacing w:before="120" w:after="0"/>
        <w:jc w:val="left"/>
        <w:rPr>
          <w:rFonts w:ascii="Times New Roman" w:hAnsi="Times New Roman"/>
          <w:sz w:val="20"/>
        </w:rPr>
      </w:pPr>
      <w:r>
        <w:rPr>
          <w:rFonts w:ascii="Times New Roman" w:hAnsi="Times New Roman"/>
          <w:sz w:val="20"/>
        </w:rPr>
        <w:t xml:space="preserve">then, solely for purposes of such Exchange, the Company will, without duplication, give effect to such adjustment on such VWAP Trading Day. In such case, if the date on which the Company is otherwise required to deliver the consideration due upon such Exchange is before the first date on which the amount of such adjustment can be determined, then the Company will delay the settlement of such Exchange until the second (2nd) Business Day after such first date. </w:t>
      </w:r>
    </w:p>
    <w:p>
      <w:pPr>
        <w:pStyle w:val="TextBody"/>
        <w:bidi w:val="0"/>
        <w:spacing w:before="240" w:after="0"/>
        <w:jc w:val="left"/>
        <w:rPr>
          <w:rFonts w:ascii="Times New Roman" w:hAnsi="Times New Roman"/>
          <w:sz w:val="20"/>
        </w:rPr>
      </w:pPr>
      <w:r>
        <w:rPr>
          <w:rFonts w:ascii="Times New Roman" w:hAnsi="Times New Roman"/>
          <w:sz w:val="20"/>
        </w:rPr>
        <w:t xml:space="preserve">(E) Exchange Rate Adjustments Where Exchanging Holders Participate in the Relevant Transaction or Event. Notwithstanding anything to the contrary in this Indenture or the Notes, if: </w:t>
      </w:r>
    </w:p>
    <w:p>
      <w:pPr>
        <w:pStyle w:val="TextBody"/>
        <w:bidi w:val="0"/>
        <w:spacing w:before="120" w:after="0"/>
        <w:jc w:val="left"/>
        <w:rPr>
          <w:rFonts w:ascii="Times New Roman" w:hAnsi="Times New Roman"/>
          <w:sz w:val="20"/>
        </w:rPr>
      </w:pPr>
      <w:r>
        <w:rPr>
          <w:rFonts w:ascii="Times New Roman" w:hAnsi="Times New Roman"/>
          <w:sz w:val="20"/>
        </w:rPr>
        <w:t xml:space="preserve">(i) an Exchange Rate adjustment for any dividend or distribution becomes effective on any Ex-Dividend Date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Note is to be Exchanged pursuant to Combination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(iii) any VWAP Trading Day in the Observation Period for such Exchange occurs on or after such Ex-Dividend Date and on or before the related record date; </w:t>
      </w:r>
    </w:p>
    <w:p>
      <w:pPr>
        <w:pStyle w:val="TextBody"/>
        <w:bidi w:val="0"/>
        <w:spacing w:before="120" w:after="0"/>
        <w:jc w:val="left"/>
        <w:rPr>
          <w:rFonts w:ascii="Times New Roman" w:hAnsi="Times New Roman"/>
          <w:sz w:val="20"/>
        </w:rPr>
      </w:pPr>
      <w:r>
        <w:rPr>
          <w:rFonts w:ascii="Times New Roman" w:hAnsi="Times New Roman"/>
          <w:sz w:val="20"/>
        </w:rPr>
        <w:t xml:space="preserve">(iv) the Exchange Consideration due in respect of such VWAP Trading Day includes any whole or fractional shares of Common Stock based on an Exchange Rate that is adjusted for such dividend or distribution;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such shares would be entitled to participate in such dividend or distribution (including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5.02(C)</w:t>
      </w:r>
      <w:r>
        <w:rPr>
          <w:rFonts w:ascii="Times New Roman" w:hAnsi="Times New Roman"/>
          <w:sz w:val="20"/>
        </w:rPr>
        <w:t xml:space="preserve">), then the Exchange Rate adjustment relating to such Ex-Dividend Date will be made for such Exchange in respect of such VWAP Trading Day, but the shares of Common Stock issuable with respect to such VWAP Trading Day based on such adjusted Exchange Rate will not be entitled to participate in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Stockholder Rights Plans</w:t>
      </w:r>
      <w:r>
        <w:rPr>
          <w:rFonts w:ascii="Times New Roman" w:hAnsi="Times New Roman"/>
          <w:sz w:val="20"/>
        </w:rPr>
        <w:t xml:space="preserve">. If any shares of Common Stock are to be issued upon Exchange of any Note and, at the time of such Exchange, the Parent Guarantor has in effect any stockholder rights plan, then the Holder of such Note will be entitled to receive, in addition to, and concurrently with the delivery of, the Exchange Consideration otherwise payable under this Indenture upon such Exchange, the rights set forth in such stockholder rights plan, unless such rights have separated from the Common Stock at such time, in which case, and only in such case, the Exchange Rate will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5.05(A)(iii)(1) </w:t>
      </w:r>
      <w:r>
        <w:rPr>
          <w:rFonts w:ascii="Times New Roman" w:hAnsi="Times New Roman"/>
          <w:sz w:val="20"/>
        </w:rPr>
        <w:t xml:space="preserve">on account of such separation as if, at the time of such separation, the Parent Guarantor had made a distribution of the type referred to in such Section to all holders of the Common Stock, subject to potential readjustment in accordance with the last paragraph of </w:t>
      </w:r>
      <w:r>
        <w:rPr>
          <w:rFonts w:ascii="Times New Roman" w:hAnsi="Times New Roman"/>
          <w:b/>
          <w:sz w:val="20"/>
        </w:rPr>
        <w:t>Section</w:t>
      </w:r>
      <w:r>
        <w:rPr>
          <w:rFonts w:ascii="Times New Roman" w:hAnsi="Times New Roman"/>
          <w:sz w:val="20"/>
        </w:rPr>
        <w:t> </w:t>
      </w:r>
      <w:r>
        <w:rPr>
          <w:rFonts w:ascii="Times New Roman" w:hAnsi="Times New Roman"/>
          <w:b/>
          <w:sz w:val="20"/>
        </w:rPr>
        <w:t>5.05(A)(iii)(1)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Effecting Transactions Resulting in Certain Adjustments</w:t>
      </w:r>
      <w:r>
        <w:rPr>
          <w:rFonts w:ascii="Times New Roman" w:hAnsi="Times New Roman"/>
          <w:sz w:val="20"/>
        </w:rPr>
        <w:t xml:space="preserve">. The Company and the Parent Guarantor will not engage in or be a party to any transaction or event that would require the Exchange Rate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5.05(A)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to an amount that would result in the Exchange Price per share of Common Stock being less than the par value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Equitable Adjustments to Prices</w:t>
      </w:r>
      <w:r>
        <w:rPr>
          <w:rFonts w:ascii="Times New Roman" w:hAnsi="Times New Roman"/>
          <w:sz w:val="20"/>
        </w:rPr>
        <w:t xml:space="preserve">. Whenever any provision of this Indenture requires the Company to calculate the average of the Last Reported Sale Prices, or any function thereof, over a period of multiple days (including to calculate the Stock Price or an adjustment to the Exchange Rate), or to calculate Daily VWAPs over an Observation Period, the Company will make appropriate adjustments, if any, to such calculations to account for any adjustment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that becomes effective, or any event requiring such an adjustment to the Exchange Rate where the Ex-Dividend Date or effective date, as applicable, of such event occurs, at any time during such period or Observation Period,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Calculation of Number of Outstanding Shares of Common Stock</w:t>
      </w:r>
      <w:r>
        <w:rPr>
          <w:rFonts w:ascii="Times New Roman" w:hAnsi="Times New Roman"/>
          <w:sz w:val="20"/>
        </w:rPr>
        <w:t xml:space="preserve">.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 of shares of Common Stock outstanding at any time will (i) include shares issuable in respect of scrip certificates issued in lieu of fractions of shares of Common Stock; and (ii) exclude shares of Common Stock held in the Parent Guarantor’s treasury (unless the Parent Guarantor pays any dividend or makes any distribution on shares of Common Stock held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Calculations</w:t>
      </w:r>
      <w:r>
        <w:rPr>
          <w:rFonts w:ascii="Times New Roman" w:hAnsi="Times New Roman"/>
          <w:sz w:val="20"/>
        </w:rPr>
        <w:t xml:space="preserve">. All calculations with respect to the Exchange Rate and adjustments thereto will be made to the nearest 1/10,000th of a share of Common Stock (with 5/100,000ths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Notice of Exchange Rate Adjustments</w:t>
      </w:r>
      <w:r>
        <w:rPr>
          <w:rFonts w:ascii="Times New Roman" w:hAnsi="Times New Roman"/>
          <w:sz w:val="20"/>
        </w:rPr>
        <w:t xml:space="preserve">. Upon the effectiveness of any adjustment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Company will promptly deliver a written notice to the Holders, the Trustee and the Exchange Agent containing (i) a brief description of the transaction or other event on account of which such adjustment was made; (ii) the Exchange Rate in effect immediately after such adjustment; and (iii) the effective time of such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5.06 VOLUNTARY ADJUSTMENTS.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To the extent permitted by law and applicable stock exchange rules, the Company, from time to time, may (but is not required to) increase the Exchange Rate by any amount if (i) the Company’s or the Parent Guarantor’s Board of Directors determines that such increase is either (x) in the best interest of the Company or the Parent Guarantor;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Voluntary Increases</w:t>
      </w:r>
      <w:r>
        <w:rPr>
          <w:rFonts w:ascii="Times New Roman" w:hAnsi="Times New Roman"/>
          <w:sz w:val="20"/>
        </w:rPr>
        <w:t xml:space="preserve">. If the Parent Guarantor’s Board of Directors determines to increase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then, no later than the first Business Day of the related twenty (20) Business Day period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5.06(A)</w:t>
      </w:r>
      <w:r>
        <w:rPr>
          <w:rFonts w:ascii="Times New Roman" w:hAnsi="Times New Roman"/>
          <w:sz w:val="20"/>
        </w:rPr>
        <w:t xml:space="preserve">, the Company will deliver a written notice to each Holder, the Trustee and the Exchange Agent of such increase, the amount thereof and the period during which such increase will be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5.07 ADJUSTMENTS TO THE EXCHANGE RATE IN CONNECTION WITH A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a Make-Whole Fundamental Change occurs and the Exchange Date for the Exchange of a Note occurs during the related Make-Whole Fundamental Change Exchange Period, then,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the Exchange Rate applicable to such Exchange will be increased by a number of shares (the “</w:t>
      </w:r>
      <w:r>
        <w:rPr>
          <w:rFonts w:ascii="Times New Roman" w:hAnsi="Times New Roman"/>
          <w:b/>
          <w:sz w:val="20"/>
        </w:rPr>
        <w:t>Additional Shares</w:t>
      </w:r>
      <w:r>
        <w:rPr>
          <w:rFonts w:ascii="Times New Roman" w:hAnsi="Times New Roman"/>
          <w:sz w:val="20"/>
        </w:rPr>
        <w:t xml:space="preserve">”) set forth in the table below corresponding (after interpolation as provided in, and subject to, the provisions below) to the Make-Whole Fundamental Change Effective Date and the Stock Price of such Make-Whole Fundamental Change: </w:t>
      </w:r>
    </w:p>
    <w:p>
      <w:pPr>
        <w:pStyle w:val="TextBody"/>
        <w:bidi w:val="0"/>
        <w:spacing w:before="0" w:after="0"/>
        <w:jc w:val="left"/>
        <w:rPr/>
      </w:pPr>
      <w:r>
        <w:rPr/>
        <w:t> </w:t>
      </w:r>
    </w:p>
    <w:tbl>
      <w:tblPr>
        <w:tblW w:w="11985" w:type="dxa"/>
        <w:jc w:val="center"/>
        <w:tblInd w:w="0" w:type="dxa"/>
        <w:tblLayout w:type="fixed"/>
        <w:tblCellMar>
          <w:top w:w="0" w:type="dxa"/>
          <w:left w:w="0" w:type="dxa"/>
          <w:bottom w:w="0" w:type="dxa"/>
          <w:right w:w="0" w:type="dxa"/>
        </w:tblCellMar>
      </w:tblPr>
      <w:tblGrid>
        <w:gridCol w:w="1265"/>
        <w:gridCol w:w="120"/>
        <w:gridCol w:w="60"/>
        <w:gridCol w:w="800"/>
        <w:gridCol w:w="60"/>
        <w:gridCol w:w="120"/>
        <w:gridCol w:w="60"/>
        <w:gridCol w:w="800"/>
        <w:gridCol w:w="60"/>
        <w:gridCol w:w="120"/>
        <w:gridCol w:w="60"/>
        <w:gridCol w:w="800"/>
        <w:gridCol w:w="60"/>
        <w:gridCol w:w="120"/>
        <w:gridCol w:w="60"/>
        <w:gridCol w:w="800"/>
        <w:gridCol w:w="60"/>
        <w:gridCol w:w="120"/>
        <w:gridCol w:w="60"/>
        <w:gridCol w:w="80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40" w:type="dxa"/>
            <w:gridSpan w:val="42"/>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Make-Whole</w:t>
            </w:r>
          </w:p>
          <w:p>
            <w:pPr>
              <w:pStyle w:val="TableContents"/>
              <w:bidi w:val="0"/>
              <w:spacing w:before="0" w:after="0"/>
              <w:jc w:val="left"/>
              <w:rPr>
                <w:rFonts w:ascii="Times New Roman" w:hAnsi="Times New Roman"/>
                <w:b/>
                <w:sz w:val="16"/>
              </w:rPr>
            </w:pPr>
            <w:r>
              <w:rPr>
                <w:rFonts w:ascii="Times New Roman" w:hAnsi="Times New Roman"/>
                <w:b/>
                <w:sz w:val="16"/>
              </w:rPr>
              <w:t>Fundamental</w:t>
            </w:r>
          </w:p>
          <w:p>
            <w:pPr>
              <w:pStyle w:val="TableContents"/>
              <w:bidi w:val="0"/>
              <w:spacing w:before="0" w:after="0"/>
              <w:jc w:val="left"/>
              <w:rPr>
                <w:rFonts w:ascii="Times New Roman" w:hAnsi="Times New Roman"/>
                <w:b/>
                <w:sz w:val="16"/>
              </w:rPr>
            </w:pPr>
            <w:r>
              <w:rPr>
                <w:rFonts w:ascii="Times New Roman" w:hAnsi="Times New Roman"/>
                <w:b/>
                <w:sz w:val="16"/>
              </w:rPr>
              <w:t>Change Effective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$16.45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$85.00</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17,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29.6442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24.4550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18.4907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13.9154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10.8736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7.3992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2.9628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1.4634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0.5662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0.1797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February 1,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29.6442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24.0500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18.0098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13.4103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10.3807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6.9693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1.3623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0.5274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0.1648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29.6442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23.0190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16.6169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11.8640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8.8407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5.6169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0.4148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0.1243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February 1,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29.6442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21.9220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14.9378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6.9200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3.9951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1.4172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0.7417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0.2938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0.0834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1,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29.6442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21.4353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12.6533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7.1802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4.2600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0.3909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0.1568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0.0398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February 1,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29.6442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20.9486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9.8373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120" w:after="0"/>
        <w:jc w:val="left"/>
        <w:rPr>
          <w:rFonts w:ascii="Times New Roman" w:hAnsi="Times New Roman"/>
          <w:sz w:val="20"/>
        </w:rPr>
      </w:pPr>
      <w:r>
        <w:rPr>
          <w:rFonts w:ascii="Times New Roman" w:hAnsi="Times New Roman"/>
          <w:sz w:val="20"/>
        </w:rPr>
        <w:t xml:space="preserve">(i)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(ii) if the Stock Price is greater than $85.00 (subject to adjustment in the same manner as the Stock Prices set forth in the column headings of the table above are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5.07(B)</w:t>
      </w:r>
      <w:r>
        <w:rPr>
          <w:rFonts w:ascii="Times New Roman" w:hAnsi="Times New Roman"/>
          <w:sz w:val="20"/>
        </w:rPr>
        <w:t xml:space="preserve">), or less than $9.20 (subject to adjustment in the same manner), per share, then no Additional Shares will be added to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Indenture or the Notes, in no event will the Exchange Rate be increased to an amount that exceeds 108.6956 shares of Common Stock per $1,000 principal amount of Notes, which amount is subject to adjustment in the same manner as, and at the same time and for the same events for which, the Exchange Rate is required to be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4.03(L)</w:t>
      </w:r>
      <w:r>
        <w:rPr>
          <w:rFonts w:ascii="Times New Roman" w:hAnsi="Times New Roman"/>
          <w:sz w:val="20"/>
        </w:rPr>
        <w:t xml:space="preserve">, (x) the sending of a Redemption Notice for a Provisional Redemption or REIT Preservation Redemption will constitute a Make-Whole Fundamental Change only with respect to the Notes called for such Redemption pursuant to such Redemption Notice, and not with respect to any other Notes; and (y) the Exchange Rate applicable to the Notes not so called for Redemption will not be subject to increase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on account of such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of Stock Prices and Number of Additional Shares</w:t>
      </w:r>
      <w:r>
        <w:rPr>
          <w:rFonts w:ascii="Times New Roman" w:hAnsi="Times New Roman"/>
          <w:sz w:val="20"/>
        </w:rPr>
        <w:t>. The Stock Prices in the first row (</w:t>
      </w:r>
      <w:r>
        <w:rPr>
          <w:rFonts w:ascii="Times New Roman" w:hAnsi="Times New Roman"/>
          <w:i/>
          <w:sz w:val="20"/>
        </w:rPr>
        <w:t>i.e.</w:t>
      </w:r>
      <w:r>
        <w:rPr>
          <w:rFonts w:ascii="Times New Roman" w:hAnsi="Times New Roman"/>
          <w:sz w:val="20"/>
        </w:rPr>
        <w:t xml:space="preserve">, the column headers) of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Exchange Price is adjusted as a result of the operation of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The numbers of Additional Shares in the table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5.07(A)</w:t>
      </w:r>
      <w:r>
        <w:rPr>
          <w:rFonts w:ascii="Times New Roman" w:hAnsi="Times New Roman"/>
          <w:sz w:val="20"/>
        </w:rPr>
        <w:t xml:space="preserve"> will be adjusted in the same manner as, and at the same time and for the same events for which, the Exchange Rate is adjusted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the Occurrence of a Make-Whole Fundamental Change</w:t>
      </w:r>
      <w:r>
        <w:rPr>
          <w:rFonts w:ascii="Times New Roman" w:hAnsi="Times New Roman"/>
          <w:sz w:val="20"/>
        </w:rPr>
        <w:t xml:space="preserve">. The Company will notify the Holders, the Trustee and the Exchange Agent in writing of each Make-Whole Fundamental Change (i) occurring pursuant to </w:t>
      </w:r>
      <w:r>
        <w:rPr>
          <w:rFonts w:ascii="Times New Roman" w:hAnsi="Times New Roman"/>
          <w:b/>
          <w:sz w:val="20"/>
        </w:rPr>
        <w:t>clause (A)</w:t>
      </w:r>
      <w:r>
        <w:rPr>
          <w:rFonts w:ascii="Times New Roman" w:hAnsi="Times New Roman"/>
          <w:sz w:val="20"/>
        </w:rPr>
        <w:t xml:space="preserve">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5.01(C)(i)(3)(b)</w:t>
      </w:r>
      <w:r>
        <w:rPr>
          <w:rFonts w:ascii="Times New Roman" w:hAnsi="Times New Roman"/>
          <w:sz w:val="20"/>
        </w:rPr>
        <w:t xml:space="preserve">; and (ii) occurring pursuant to </w:t>
      </w:r>
      <w:r>
        <w:rPr>
          <w:rFonts w:ascii="Times New Roman" w:hAnsi="Times New Roman"/>
          <w:b/>
          <w:sz w:val="20"/>
        </w:rPr>
        <w:t>clause (B)</w:t>
      </w:r>
      <w:r>
        <w:rPr>
          <w:rFonts w:ascii="Times New Roman" w:hAnsi="Times New Roman"/>
          <w:sz w:val="20"/>
        </w:rPr>
        <w:t xml:space="preserve"> of the definition thereof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4.03(I)</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5.08 TRANSFER OF NOTES TO BE EXCHANGED TO A THIRD PARTY FOR SETTLEMENT.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5</w:t>
      </w:r>
      <w:r>
        <w:rPr>
          <w:rFonts w:ascii="Times New Roman" w:hAnsi="Times New Roman"/>
          <w:sz w:val="20"/>
        </w:rPr>
        <w:t xml:space="preserve">, and subject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if a Note is submitted for Exchange, the Company may elect to arrange to have such Note transferred, for settlement in lieu of Exchange, to a third party financial institution designated by the Company that will pay and deliver, as the case may be, the consideration due upon such Exchange in lieu of the Company’s payment and delivery of the same. To make such election, the Company must deliver a written notice of such election to the Holder of such Note, the Trustee and the Exchange Agent before the Close of Business on the Business Day immediately following the Exchange Date for such Note. If the Company has made such election, then: </w:t>
      </w:r>
    </w:p>
    <w:p>
      <w:pPr>
        <w:pStyle w:val="TextBody"/>
        <w:bidi w:val="0"/>
        <w:spacing w:before="240" w:after="0"/>
        <w:jc w:val="left"/>
        <w:rPr>
          <w:rFonts w:ascii="Times New Roman" w:hAnsi="Times New Roman"/>
          <w:sz w:val="20"/>
        </w:rPr>
      </w:pPr>
      <w:r>
        <w:rPr>
          <w:rFonts w:ascii="Times New Roman" w:hAnsi="Times New Roman"/>
          <w:sz w:val="20"/>
        </w:rPr>
        <w:t xml:space="preserve">(A) no later than the Business Day immediately following such Exchange Date, the Company must deliver (or cause the Exchange Agent to deliver) such Note, together with delivery instructions for the Exchange Consideration due upon such Exchange (including wire instructions, if applicable), to a financial institution designated by the Company that has agreed to deliver such Exchange Consideration in the manner and at the time the Company would have had to deliver the same pursuant to this </w:t>
      </w:r>
      <w:r>
        <w:rPr>
          <w:rFonts w:ascii="Times New Roman" w:hAnsi="Times New Roman"/>
          <w:b/>
          <w:sz w:val="20"/>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such Note is a Global Note, then (i) such designated institution will send written confirmation to the Exchange Agent promptly after wiring the cash Exchange Consideration, if any, and delivering any other Exchange Consideration, due upon such Exchange to the Holder of such Note; and (ii) the Exchange Agent will as soon as reasonably practicable thereafter contact such Holder’s custodian with the Depositary to confirm receipt of the same; and </w:t>
      </w:r>
    </w:p>
    <w:p>
      <w:pPr>
        <w:pStyle w:val="TextBody"/>
        <w:bidi w:val="0"/>
        <w:spacing w:before="240" w:after="0"/>
        <w:jc w:val="left"/>
        <w:rPr>
          <w:rFonts w:ascii="Times New Roman" w:hAnsi="Times New Roman"/>
          <w:sz w:val="20"/>
        </w:rPr>
      </w:pPr>
      <w:r>
        <w:rPr>
          <w:rFonts w:ascii="Times New Roman" w:hAnsi="Times New Roman"/>
          <w:sz w:val="20"/>
        </w:rPr>
        <w:t xml:space="preserve">(C) such Note will not cease to be outstanding by reason of such transfer to a third party for settlement;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financial institution does not accept such Note or fails to timely deliver such Exchange Consideration, then the Company will be responsible for delivering such Exchange Consideration in the manner and at the time provided in this </w:t>
      </w:r>
      <w:r>
        <w:rPr>
          <w:rFonts w:ascii="Times New Roman" w:hAnsi="Times New Roman"/>
          <w:b/>
          <w:sz w:val="20"/>
        </w:rPr>
        <w:t>Article 5</w:t>
      </w:r>
      <w:r>
        <w:rPr>
          <w:rFonts w:ascii="Times New Roman" w:hAnsi="Times New Roman"/>
          <w:sz w:val="20"/>
        </w:rPr>
        <w:t xml:space="preserve"> as if the Company had not elected to make a transfer to a third party for settlement.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5.09 EFFECT OF COMMON STOCK CHANGE EVENT.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If there occurs any: </w:t>
      </w:r>
    </w:p>
    <w:p>
      <w:pPr>
        <w:pStyle w:val="TextBody"/>
        <w:bidi w:val="0"/>
        <w:spacing w:before="120" w:after="0"/>
        <w:jc w:val="left"/>
        <w:rPr>
          <w:rFonts w:ascii="Times New Roman" w:hAnsi="Times New Roman"/>
          <w:sz w:val="20"/>
        </w:rPr>
      </w:pPr>
      <w:r>
        <w:rPr>
          <w:rFonts w:ascii="Times New Roman" w:hAnsi="Times New Roman"/>
          <w:sz w:val="20"/>
        </w:rPr>
        <w:t xml:space="preserve">(i)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consolidation, merger, combination or binding or statutory share exchange involving the Parent Guarantor; </w:t>
      </w:r>
    </w:p>
    <w:p>
      <w:pPr>
        <w:pStyle w:val="TextBody"/>
        <w:bidi w:val="0"/>
        <w:spacing w:before="120" w:after="0"/>
        <w:jc w:val="left"/>
        <w:rPr>
          <w:rFonts w:ascii="Times New Roman" w:hAnsi="Times New Roman"/>
          <w:sz w:val="20"/>
        </w:rPr>
      </w:pPr>
      <w:r>
        <w:rPr>
          <w:rFonts w:ascii="Times New Roman" w:hAnsi="Times New Roman"/>
          <w:sz w:val="20"/>
        </w:rPr>
        <w:t xml:space="preserve">(iii) sale, lease or other transfer of all or substantially all of the assets of the Parent Guarantor and its Subsidiaries, taken as a whole, to any Person; or </w:t>
      </w:r>
    </w:p>
    <w:p>
      <w:pPr>
        <w:pStyle w:val="TextBody"/>
        <w:bidi w:val="0"/>
        <w:spacing w:before="120" w:after="0"/>
        <w:jc w:val="left"/>
        <w:rPr>
          <w:rFonts w:ascii="Times New Roman" w:hAnsi="Times New Roman"/>
          <w:sz w:val="20"/>
        </w:rPr>
      </w:pPr>
      <w:r>
        <w:rPr>
          <w:rFonts w:ascii="Times New Roman" w:hAnsi="Times New Roman"/>
          <w:sz w:val="20"/>
        </w:rPr>
        <w:t xml:space="preserve">(iv) other similar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as a result of which, the Common Stock is converted into, or is exchanged for, or represents solely the right to receive, other securities, cash or other property, or any combination of the foregoing (such an event, a “</w:t>
      </w:r>
      <w:r>
        <w:rPr>
          <w:rFonts w:ascii="Times New Roman" w:hAnsi="Times New Roman"/>
          <w:b/>
          <w:sz w:val="20"/>
        </w:rPr>
        <w:t>Common Stock Change Event</w:t>
      </w:r>
      <w:r>
        <w:rPr>
          <w:rFonts w:ascii="Times New Roman" w:hAnsi="Times New Roman"/>
          <w:sz w:val="20"/>
        </w:rPr>
        <w:t>,” and such other securities, cash or property, the “</w:t>
      </w:r>
      <w:r>
        <w:rPr>
          <w:rFonts w:ascii="Times New Roman" w:hAnsi="Times New Roman"/>
          <w:b/>
          <w:sz w:val="20"/>
        </w:rPr>
        <w:t>Reference Property</w:t>
      </w:r>
      <w:r>
        <w:rPr>
          <w:rFonts w:ascii="Times New Roman" w:hAnsi="Times New Roman"/>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hAnsi="Times New Roman"/>
          <w:b/>
          <w:sz w:val="20"/>
        </w:rPr>
        <w:t>Reference Property Unit</w:t>
      </w:r>
      <w:r>
        <w:rPr>
          <w:rFonts w:ascii="Times New Roman" w:hAnsi="Times New Roman"/>
          <w:sz w:val="20"/>
        </w:rPr>
        <w:t xml:space="preserve">”), then, notwithstanding anything to the contrary in this Indenture or the Notes, </w:t>
      </w:r>
    </w:p>
    <w:p>
      <w:pPr>
        <w:pStyle w:val="TextBody"/>
        <w:bidi w:val="0"/>
        <w:spacing w:before="120" w:after="0"/>
        <w:jc w:val="left"/>
        <w:rPr>
          <w:rFonts w:ascii="Times New Roman" w:hAnsi="Times New Roman"/>
          <w:sz w:val="20"/>
        </w:rPr>
      </w:pPr>
      <w:r>
        <w:rPr>
          <w:rFonts w:ascii="Times New Roman" w:hAnsi="Times New Roman"/>
          <w:sz w:val="20"/>
        </w:rPr>
        <w:t xml:space="preserve">(1) from and after the effective time of such Common Stock Change Event, (I) the Exchange Consideration due upon Exchange of any Note, and the conditions to any such Exchange, will be determined in the same manner as if each reference to any number of shares of Common Stock in this Article 5 (or in any related definitions) were instead a reference to the same number of Reference Property Units; (II) for purposes of Section 4.03,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Parent Guarantor’s “common equity” will be deemed to refer to the common equity (including depositary receipts representing common equity), if any, forming part of such Reference Property; </w:t>
      </w:r>
    </w:p>
    <w:p>
      <w:pPr>
        <w:pStyle w:val="TextBody"/>
        <w:bidi w:val="0"/>
        <w:spacing w:before="120" w:after="0"/>
        <w:jc w:val="left"/>
        <w:rPr>
          <w:rFonts w:ascii="Times New Roman" w:hAnsi="Times New Roman"/>
          <w:sz w:val="20"/>
        </w:rPr>
      </w:pPr>
      <w:r>
        <w:rPr>
          <w:rFonts w:ascii="Times New Roman" w:hAnsi="Times New Roman"/>
          <w:sz w:val="20"/>
        </w:rPr>
        <w:t xml:space="preserve">(2) if such Reference Property Unit consists entirely of cash, then (I) each Exchange of any Note with an Exchange Date that occurs on or after the effective date of such Common Stock Change Event will be settled entirely in cash in an amount, per $1,000 principal amount of such Note being Exchanged, equal to the product of (x) the Exchange Rate in effect on such Exchange Date (including, for the avoidance of doubt, any increase to such Exchange Rate pursuant to Section 5.07, if applicable); and (y) the amount of cash constituting such Reference Property Unit; and (II) the Company will settle each such Exchange no later than the fifth (5th) Business Day after the relevant Exchange Date; and </w:t>
      </w:r>
    </w:p>
    <w:p>
      <w:pPr>
        <w:pStyle w:val="TextBody"/>
        <w:bidi w:val="0"/>
        <w:spacing w:before="120" w:after="0"/>
        <w:jc w:val="left"/>
        <w:rPr>
          <w:rFonts w:ascii="Times New Roman" w:hAnsi="Times New Roman"/>
          <w:sz w:val="20"/>
        </w:rPr>
      </w:pPr>
      <w:r>
        <w:rPr>
          <w:rFonts w:ascii="Times New Roman" w:hAnsi="Times New Roman"/>
          <w:sz w:val="20"/>
        </w:rPr>
        <w:t xml:space="preserve">(3)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Exchange Agent in writing of such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At or before the effective time of such Common Stock Change Event, the Company and the resulting, surviving or transferee Person (if not the Company or the Parent Guarantor) of such Common Stock Change Event (the “</w:t>
      </w:r>
      <w:r>
        <w:rPr>
          <w:rFonts w:ascii="Times New Roman" w:hAnsi="Times New Roman"/>
          <w:b/>
          <w:sz w:val="20"/>
        </w:rPr>
        <w:t>Successor Person</w:t>
      </w:r>
      <w:r>
        <w:rPr>
          <w:rFonts w:ascii="Times New Roman" w:hAnsi="Times New Roman"/>
          <w:sz w:val="20"/>
        </w:rPr>
        <w:t xml:space="preserve">”) will execute and deliver to the Trustee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8.01(F)</w:t>
      </w:r>
      <w:r>
        <w:rPr>
          <w:rFonts w:ascii="Times New Roman" w:hAnsi="Times New Roman"/>
          <w:sz w:val="20"/>
        </w:rPr>
        <w:t xml:space="preserve">, which supplemental indenture will (x) provide for subsequent Exchanges of Notes in the manner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(y) provide for subsequent adjustments to the Exchange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5.05(A)</w:t>
      </w:r>
      <w:r>
        <w:rPr>
          <w:rFonts w:ascii="Times New Roman" w:hAnsi="Times New Roman"/>
          <w:sz w:val="20"/>
        </w:rPr>
        <w:t xml:space="preserve"> in a manner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and (z) contain such other provisions, if any, that the Company reasonably determines are appropriate to preserve the economic interests of the Holders and to give effect to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5.09(A)</w:t>
      </w:r>
      <w:r>
        <w:rPr>
          <w:rFonts w:ascii="Times New Roman" w:hAnsi="Times New Roman"/>
          <w:sz w:val="20"/>
        </w:rPr>
        <w:t xml:space="preserve">.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 Notwithstanding anything to the contrary in this paragraph, no such supplemental indenture is required (but the Company may nonetheless choose to execute such a supplemental indenture at its option) if (x) the Company or the Parent Guarantor is the resulting, surviving or transferee Person of such Common Stock Change Event; and (ii) the Reference Property of such Common Stock Change Event does not include consideration other than cash or securities of the Company or the Parent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Common Stock Change Events</w:t>
      </w:r>
      <w:r>
        <w:rPr>
          <w:rFonts w:ascii="Times New Roman" w:hAnsi="Times New Roman"/>
          <w:sz w:val="20"/>
        </w:rPr>
        <w:t xml:space="preserve">. The Company will provide notice of each Common Stock Change Event to Holders, the Trustee and the Exchange Agent no later than the Business Day after the effective date of such Common Stock Change Event.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Covenant</w:t>
      </w:r>
      <w:r>
        <w:rPr>
          <w:rFonts w:ascii="Times New Roman" w:hAnsi="Times New Roman"/>
          <w:sz w:val="20"/>
        </w:rPr>
        <w:t xml:space="preserve">. The Parent Guarantor will not become a party to any Common Stock Change Event unless its terms are consistent with this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5.10 DEEMED REPRESENTATION UPON EXCHANGE. </w:t>
      </w:r>
    </w:p>
    <w:p>
      <w:pPr>
        <w:pStyle w:val="TextBody"/>
        <w:bidi w:val="0"/>
        <w:spacing w:before="120" w:after="0"/>
        <w:jc w:val="left"/>
        <w:rPr>
          <w:rFonts w:ascii="Times New Roman" w:hAnsi="Times New Roman"/>
          <w:sz w:val="20"/>
        </w:rPr>
      </w:pPr>
      <w:r>
        <w:rPr>
          <w:rFonts w:ascii="Times New Roman" w:hAnsi="Times New Roman"/>
          <w:sz w:val="20"/>
        </w:rPr>
        <w:t xml:space="preserve">As of the Exchange Date for the Exchange of any Note, the Holder of such Note will be deemed to have represented to the Parent Guarantor and the Company that such Holder is either a “qualified institutional buyer” (as defined in Rule 144A) or an “accredited investor” (as defined in Rule 501). A Holder’s satisfaction of the requirements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to Exchange any Note will be deemed to constitute such Holder’s representation as provided in the preceding sentence.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SUCCESSORS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WHEN THE COMPANY MAY MERGE,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Parent Guarantor) (a “</w:t>
      </w:r>
      <w:r>
        <w:rPr>
          <w:rFonts w:ascii="Times New Roman" w:hAnsi="Times New Roman"/>
          <w:b/>
          <w:sz w:val="20"/>
        </w:rPr>
        <w:t>Company 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(i) the resulting, surviving or transferee Person either (x) is the Company or (y) if not the Company, is a corporation, limited liability company, limited partnership or other similar entity (such corporation, limited liability company, limited partnership or other similar entity, as applicable, the “</w:t>
      </w:r>
      <w:r>
        <w:rPr>
          <w:rFonts w:ascii="Times New Roman" w:hAnsi="Times New Roman"/>
          <w:b/>
          <w:sz w:val="20"/>
        </w:rPr>
        <w:t>Company Successor Entity</w:t>
      </w:r>
      <w:r>
        <w:rPr>
          <w:rFonts w:ascii="Times New Roman" w:hAnsi="Times New Roman"/>
          <w:sz w:val="20"/>
        </w:rPr>
        <w:t xml:space="preserve">”) duly organized and existing under the laws of the United States of America, any State thereof or the District of Columbia that expressly assumes (by executing and delivering to the Trustee, at or before the effective time of such Company Business Combination Event,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all of the Company’s obligations under this Indenture, the Notes and each Registration Rights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Company Business Combination Event, no Default will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Officer’s Certificate and Opinion of Counsel to the Trustee</w:t>
      </w:r>
      <w:r>
        <w:rPr>
          <w:rFonts w:ascii="Times New Roman" w:hAnsi="Times New Roman"/>
          <w:sz w:val="20"/>
        </w:rPr>
        <w:t xml:space="preserve">. At or before the effective time of any Company Business Combination Event, the Company will deliver to the Trustee an Officer’s Certificate and Opinion of Counsel, each stating that (i) such Company Business Combination Event (and, if applicable, the related supplemental indenture) comply with </w:t>
      </w:r>
      <w:r>
        <w:rPr>
          <w:rFonts w:ascii="Times New Roman" w:hAnsi="Times New Roman"/>
          <w:b/>
          <w:sz w:val="20"/>
        </w:rPr>
        <w:t>Section</w:t>
      </w:r>
      <w:r>
        <w:rPr>
          <w:rFonts w:ascii="Times New Roman" w:hAnsi="Times New Roman"/>
          <w:sz w:val="20"/>
        </w:rPr>
        <w:t> </w:t>
      </w:r>
      <w:r>
        <w:rPr>
          <w:rFonts w:ascii="Times New Roman" w:hAnsi="Times New Roman"/>
          <w:b/>
          <w:sz w:val="20"/>
        </w:rPr>
        <w:t>6.01(A)</w:t>
      </w:r>
      <w:r>
        <w:rPr>
          <w:rFonts w:ascii="Times New Roman" w:hAnsi="Times New Roman"/>
          <w:sz w:val="20"/>
        </w:rPr>
        <w:t xml:space="preserve">; and (ii) all conditions precedent to such Company Business Combination Event provided in this Indenture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6.02 SUCCESSOR ENTITY SUBSTITUTED.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any Company Business Combination Event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the Company Successor Entity (if not the Company) will succeed to, and may exercise every right and power of, the Company under this Indenture and the Notes with the same effect as if such Company Successor Entity had been named as the Company in this Indenture and the Notes, and, except in the case of a lease, the predecessor Company will be discharged from its obligations under this Indenture, the Notes and (unless the Underlying Security immediately after such Company Business Combination Event includes any securities of such predecessor Company) each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6.03 EXCLUSION FOR ASSET TRANSFERS WITH PARENT GUARANTOR OR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6</w:t>
      </w:r>
      <w:r>
        <w:rPr>
          <w:rFonts w:ascii="Times New Roman" w:hAnsi="Times New Roman"/>
          <w:sz w:val="20"/>
        </w:rPr>
        <w:t xml:space="preserve">, this </w:t>
      </w:r>
      <w:r>
        <w:rPr>
          <w:rFonts w:ascii="Times New Roman" w:hAnsi="Times New Roman"/>
          <w:b/>
          <w:sz w:val="20"/>
        </w:rPr>
        <w:t>Article 6</w:t>
      </w:r>
      <w:r>
        <w:rPr>
          <w:rFonts w:ascii="Times New Roman" w:hAnsi="Times New Roman"/>
          <w:sz w:val="20"/>
        </w:rPr>
        <w:t xml:space="preserve"> will not apply to any transfer of assets (other than by merger or consolidation) between or among (A) the Company; and (B) the Parent Guarantor or any one or more of the Company’s or the Parent Guarantor’s respective Wholly Owned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Definition of Events of Default</w:t>
      </w:r>
      <w:r>
        <w:rPr>
          <w:rFonts w:ascii="Times New Roman" w:hAnsi="Times New Roman"/>
          <w:sz w:val="20"/>
        </w:rPr>
        <w:t>. “</w:t>
      </w:r>
      <w:r>
        <w:rPr>
          <w:rFonts w:ascii="Times New Roman" w:hAnsi="Times New Roman"/>
          <w:b/>
          <w:sz w:val="20"/>
        </w:rPr>
        <w:t>Event of Default</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default in the payment when due (whether at maturity, upon Redemption or Repurchase Upon Fundamental Change or otherwise) of the principal of, or the Maturity Premium, Redemption Price or Fundamental Change Repurchase Price for, any Note; </w:t>
      </w:r>
    </w:p>
    <w:p>
      <w:pPr>
        <w:pStyle w:val="TextBody"/>
        <w:bidi w:val="0"/>
        <w:spacing w:before="120" w:after="0"/>
        <w:jc w:val="left"/>
        <w:rPr>
          <w:rFonts w:ascii="Times New Roman" w:hAnsi="Times New Roman"/>
          <w:sz w:val="20"/>
        </w:rPr>
      </w:pPr>
      <w:r>
        <w:rPr>
          <w:rFonts w:ascii="Times New Roman" w:hAnsi="Times New Roman"/>
          <w:sz w:val="20"/>
        </w:rPr>
        <w:t xml:space="preserve">(ii) a default for thirty (30) consecutive days in the payment when due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Company’s failure to deliver, when required by this Indenture, a Fundamental Change Notice, or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w:t>
      </w:r>
      <w:r>
        <w:rPr>
          <w:rFonts w:ascii="Times New Roman" w:hAnsi="Times New Roman"/>
          <w:sz w:val="20"/>
        </w:rPr>
        <w:t xml:space="preserve">, if (in the case of any notice other than a notice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5.01(C)(i)(3)(a)</w:t>
      </w:r>
      <w:r>
        <w:rPr>
          <w:rFonts w:ascii="Times New Roman" w:hAnsi="Times New Roman"/>
          <w:sz w:val="20"/>
        </w:rPr>
        <w:t xml:space="preserve">) such failure is not cured within three (3) days after its occurrence; </w:t>
      </w:r>
    </w:p>
    <w:p>
      <w:pPr>
        <w:pStyle w:val="TextBody"/>
        <w:bidi w:val="0"/>
        <w:spacing w:before="120" w:after="0"/>
        <w:jc w:val="left"/>
        <w:rPr>
          <w:rFonts w:ascii="Times New Roman" w:hAnsi="Times New Roman"/>
          <w:sz w:val="20"/>
        </w:rPr>
      </w:pPr>
      <w:r>
        <w:rPr>
          <w:rFonts w:ascii="Times New Roman" w:hAnsi="Times New Roman"/>
          <w:sz w:val="20"/>
        </w:rPr>
        <w:t xml:space="preserve">(iv) a default in the Company’s obligation to Exchange a Note in accordance with </w:t>
      </w:r>
      <w:r>
        <w:rPr>
          <w:rFonts w:ascii="Times New Roman" w:hAnsi="Times New Roman"/>
          <w:b/>
          <w:sz w:val="20"/>
        </w:rPr>
        <w:t>Article 5</w:t>
      </w:r>
      <w:r>
        <w:rPr>
          <w:rFonts w:ascii="Times New Roman" w:hAnsi="Times New Roman"/>
          <w:sz w:val="20"/>
        </w:rPr>
        <w:t xml:space="preserve"> upon the exercise of the Exchange right with respect thereto, if such default is not cured within three (3) days after its occurrence; </w:t>
      </w:r>
    </w:p>
    <w:p>
      <w:pPr>
        <w:pStyle w:val="TextBody"/>
        <w:bidi w:val="0"/>
        <w:spacing w:before="120" w:after="0"/>
        <w:jc w:val="left"/>
        <w:rPr>
          <w:rFonts w:ascii="Times New Roman" w:hAnsi="Times New Roman"/>
          <w:sz w:val="20"/>
        </w:rPr>
      </w:pPr>
      <w:r>
        <w:rPr>
          <w:rFonts w:ascii="Times New Roman" w:hAnsi="Times New Roman"/>
          <w:sz w:val="20"/>
        </w:rPr>
        <w:t xml:space="preserve">(v) a default in the Company’s obligations under </w:t>
      </w:r>
      <w:r>
        <w:rPr>
          <w:rFonts w:ascii="Times New Roman" w:hAnsi="Times New Roman"/>
          <w:b/>
          <w:sz w:val="20"/>
        </w:rPr>
        <w:t>Article 6</w:t>
      </w:r>
      <w:r>
        <w:rPr>
          <w:rFonts w:ascii="Times New Roman" w:hAnsi="Times New Roman"/>
          <w:sz w:val="20"/>
        </w:rPr>
        <w:t xml:space="preserve"> or in the Parent Guarantor’s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 default in any of the Company’s obligations or agreements, or in the Parent Guarantor’s obligations or agreements, under this Indenture or the Notes (other than a default set forth in </w:t>
      </w:r>
      <w:r>
        <w:rPr>
          <w:rFonts w:ascii="Times New Roman" w:hAnsi="Times New Roman"/>
          <w:b/>
          <w:sz w:val="20"/>
        </w:rPr>
        <w:t>clause (i)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w:t>
      </w:r>
      <w:r>
        <w:rPr>
          <w:rFonts w:ascii="Times New Roman" w:hAnsi="Times New Roman"/>
          <w:sz w:val="20"/>
        </w:rPr>
        <w:t xml:space="preserve"> of this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(vii) a default by the Company, the Parent Guarantor or any of the Company’s or the Parent Guarantor’s respective Subsidiaries with respect to any one or more mortgages, agreements or other instruments under which there is outstanding, or by which there is secured or evidenced, any indebtedness for borrowed money with a principal amount outstanding of at least fifty million dollars ($50,000,000) (or its foreign currency equivalent) in the aggregate of the Company, the Parent Guarantor or any of the Company’s or the Parent Guarantor’s respective Subsidiaries, whether such indebtedness exists as of the Issue Date or is thereafter created, where such default: </w:t>
      </w:r>
    </w:p>
    <w:p>
      <w:pPr>
        <w:pStyle w:val="TextBody"/>
        <w:bidi w:val="0"/>
        <w:spacing w:before="120" w:after="0"/>
        <w:jc w:val="left"/>
        <w:rPr>
          <w:rFonts w:ascii="Times New Roman" w:hAnsi="Times New Roman"/>
          <w:sz w:val="20"/>
        </w:rPr>
      </w:pPr>
      <w:r>
        <w:rPr>
          <w:rFonts w:ascii="Times New Roman" w:hAnsi="Times New Roman"/>
          <w:sz w:val="20"/>
        </w:rPr>
        <w:t xml:space="preserve">(1) constitutes a failure to pay the principal of such indebtedness when due and payable at its stated maturity, upon required repurchase, upon declaration of acceleration or otherwise, in each case after the expiration of any applicable grace period; or </w:t>
      </w:r>
    </w:p>
    <w:p>
      <w:pPr>
        <w:pStyle w:val="TextBody"/>
        <w:bidi w:val="0"/>
        <w:spacing w:before="120" w:after="0"/>
        <w:jc w:val="left"/>
        <w:rPr>
          <w:rFonts w:ascii="Times New Roman" w:hAnsi="Times New Roman"/>
          <w:sz w:val="20"/>
        </w:rPr>
      </w:pPr>
      <w:r>
        <w:rPr>
          <w:rFonts w:ascii="Times New Roman" w:hAnsi="Times New Roman"/>
          <w:sz w:val="20"/>
        </w:rPr>
        <w:t xml:space="preserve">(2) results in such indebtedness becoming or being declared due and payable before its stated maturity, </w:t>
      </w:r>
    </w:p>
    <w:p>
      <w:pPr>
        <w:pStyle w:val="TextBody"/>
        <w:bidi w:val="0"/>
        <w:spacing w:before="240" w:after="0"/>
        <w:jc w:val="left"/>
        <w:rPr>
          <w:rFonts w:ascii="Times New Roman" w:hAnsi="Times New Roman"/>
          <w:sz w:val="20"/>
        </w:rPr>
      </w:pPr>
      <w:r>
        <w:rPr>
          <w:rFonts w:ascii="Times New Roman" w:hAnsi="Times New Roman"/>
          <w:sz w:val="20"/>
        </w:rPr>
        <w:t xml:space="preserve">in each case where such default is not cured or waived within sixty (60) days after notice to the Company by the Trustee or to the Company and the Trustee by Holders of at least twenty five percent (25%) of the aggregate principal amount of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except as expressly permitted by this Indenture, the Guarantee ceases to be in full force and effect or the Parent Guarantor denies or disaffirms its obligations under its Guarantee; </w:t>
      </w:r>
    </w:p>
    <w:p>
      <w:pPr>
        <w:pStyle w:val="TextBody"/>
        <w:bidi w:val="0"/>
        <w:spacing w:before="120" w:after="0"/>
        <w:jc w:val="left"/>
        <w:rPr>
          <w:rFonts w:ascii="Times New Roman" w:hAnsi="Times New Roman"/>
          <w:sz w:val="20"/>
        </w:rPr>
      </w:pPr>
      <w:r>
        <w:rPr>
          <w:rFonts w:ascii="Times New Roman" w:hAnsi="Times New Roman"/>
          <w:sz w:val="20"/>
        </w:rPr>
        <w:t xml:space="preserve">(ix) the Company or the Parent Guarantor denies or disaffirms its obligations under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(x) the Company, the Parent Guarantor, or any of their respective Significant Subsidiaries, pursuant to or within the meaning of any Bankruptcy Law, either: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appointment of a custodian of it or for any substantial part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(4)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(5) takes any comparable action under any foreign Bankruptcy Law; or </w:t>
      </w:r>
    </w:p>
    <w:p>
      <w:pPr>
        <w:pStyle w:val="TextBody"/>
        <w:bidi w:val="0"/>
        <w:spacing w:before="120" w:after="0"/>
        <w:jc w:val="left"/>
        <w:rPr>
          <w:rFonts w:ascii="Times New Roman" w:hAnsi="Times New Roman"/>
          <w:sz w:val="20"/>
        </w:rPr>
      </w:pPr>
      <w:r>
        <w:rPr>
          <w:rFonts w:ascii="Times New Roman" w:hAnsi="Times New Roman"/>
          <w:sz w:val="20"/>
        </w:rPr>
        <w:t xml:space="preserve">(6) generally is not paying its debts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(xi) a court of competent jurisdiction enters an order or decree under any Bankruptcy Law that either: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the Company, the Parent Guarantor, or any of their respective Significant Subsidiaries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(2) appoints a custodian of the Company, the Parent Guarantor, or any of their respective Significant Subsidiaries, or for any substantial part of the property of the Company, the Parent Guarantor, or any of their respective Significant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orders the winding up or liquidation of the Company, the Parent Guarantor, or any of their respective Significant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(4) grants any similar relief under any foreign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under this </w:t>
      </w:r>
      <w:r>
        <w:rPr>
          <w:rFonts w:ascii="Times New Roman" w:hAnsi="Times New Roman"/>
          <w:b/>
          <w:sz w:val="20"/>
        </w:rPr>
        <w:t>Section</w:t>
      </w:r>
      <w:r>
        <w:rPr>
          <w:rFonts w:ascii="Times New Roman" w:hAnsi="Times New Roman"/>
          <w:sz w:val="20"/>
        </w:rPr>
        <w:t> </w:t>
      </w:r>
      <w:r>
        <w:rPr>
          <w:rFonts w:ascii="Times New Roman" w:hAnsi="Times New Roman"/>
          <w:b/>
          <w:sz w:val="20"/>
        </w:rPr>
        <w:t>7.01(A)(xi)</w:t>
      </w:r>
      <w:r>
        <w:rPr>
          <w:rFonts w:ascii="Times New Roman" w:hAnsi="Times New Roman"/>
          <w:sz w:val="20"/>
        </w:rPr>
        <w:t xml:space="preserve">, such order or decree remains unstayed and in effect for at least sixty (60) days.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Cause Irrelevant</w:t>
      </w:r>
      <w:r>
        <w:rPr>
          <w:rFonts w:ascii="Times New Roman" w:hAnsi="Times New Roman"/>
          <w:sz w:val="20"/>
        </w:rPr>
        <w:t xml:space="preserve">. Each of the events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7.02 ACCELERATION.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Automatic Acceleration in Certain Circumstances</w:t>
      </w:r>
      <w:r>
        <w:rPr>
          <w:rFonts w:ascii="Times New Roman" w:hAnsi="Times New Roman"/>
          <w:sz w:val="20"/>
        </w:rPr>
        <w:t xml:space="preserve">. If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7.01(A)(x)</w:t>
      </w:r>
      <w:r>
        <w:rPr>
          <w:rFonts w:ascii="Times New Roman" w:hAnsi="Times New Roman"/>
          <w:sz w:val="20"/>
        </w:rPr>
        <w:t xml:space="preserve"> or </w:t>
      </w:r>
      <w:r>
        <w:rPr>
          <w:rFonts w:ascii="Times New Roman" w:hAnsi="Times New Roman"/>
          <w:b/>
          <w:sz w:val="20"/>
        </w:rPr>
        <w:t xml:space="preserve">7.01(A)(xi) </w:t>
      </w:r>
      <w:r>
        <w:rPr>
          <w:rFonts w:ascii="Times New Roman" w:hAnsi="Times New Roman"/>
          <w:sz w:val="20"/>
        </w:rPr>
        <w:t xml:space="preserve">occurs with respect to the Company or the Parent Guarantor (and not solely with respect to a Significant Subsidiary of the Company or the Parent Guarantor (other than the Company)), then the principal amount of, and all accrued and unpaid interest on, and the Maturity Premium, if any, in respect of, all of the Notes then outstanding will immediately become due and payable without any further action or notice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Optional Acceleration</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if an Event of Default (other than an Event of Default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7.01(A)(x)</w:t>
      </w:r>
      <w:r>
        <w:rPr>
          <w:rFonts w:ascii="Times New Roman" w:hAnsi="Times New Roman"/>
          <w:sz w:val="20"/>
        </w:rPr>
        <w:t xml:space="preserve"> or </w:t>
      </w:r>
      <w:r>
        <w:rPr>
          <w:rFonts w:ascii="Times New Roman" w:hAnsi="Times New Roman"/>
          <w:b/>
          <w:sz w:val="20"/>
        </w:rPr>
        <w:t>7.01(A)(xi)</w:t>
      </w:r>
      <w:r>
        <w:rPr>
          <w:rFonts w:ascii="Times New Roman" w:hAnsi="Times New Roman"/>
          <w:sz w:val="20"/>
        </w:rPr>
        <w:t xml:space="preserve"> with respect to the Company or the Parent Guarantor and not solely with respect to a Significant Subsidiary of the Company or the Parent Guarantor (other than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and the Maturity Premium, if any, in respect of,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Rescission of Acceleration</w:t>
      </w:r>
      <w:r>
        <w:rPr>
          <w:rFonts w:ascii="Times New Roman" w:hAnsi="Times New Roman"/>
          <w:sz w:val="20"/>
        </w:rPr>
        <w:t xml:space="preserve">.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or the Maturity Premium, if any, in respect of, the Notes that has become due solely because of such acceleration) have been cured or waived. No such rescission will affect any subsequent Default or impair any right consequent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7.03 SOLE REMEDY FOR A FAILURE TO REPORT.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Notwithstanding anything to the contrary in this Indenture or the Notes, the Company may elect that the sole remedy for any Event of Default (a “</w:t>
      </w:r>
      <w:r>
        <w:rPr>
          <w:rFonts w:ascii="Times New Roman" w:hAnsi="Times New Roman"/>
          <w:b/>
          <w:sz w:val="20"/>
        </w:rPr>
        <w:t>Reporting Event of Default</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7.01(A)(vi)</w:t>
      </w:r>
      <w:r>
        <w:rPr>
          <w:rFonts w:ascii="Times New Roman" w:hAnsi="Times New Roman"/>
          <w:sz w:val="20"/>
        </w:rPr>
        <w:t xml:space="preserve"> arising from the Parent Guarantor’s failure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on account of the relevant Reporting Event of Default from, and including, the three hundred sixty first (361st) calendar day on which a Reporting Event of Default has occurred and is continuing or if the Company fails to pay any accrued and unpaid Special Interest when due; and (ii) Special Interest will cease to accrue on any Notes from, and including, such three hundred sixty first (361st) calendar day (it being understood that interest on any defaulted Special Interest will nonetheless accrue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Amount and Payment of Special Interest</w:t>
      </w:r>
      <w:r>
        <w:rPr>
          <w:rFonts w:ascii="Times New Roman" w:hAnsi="Times New Roman"/>
          <w:sz w:val="20"/>
        </w:rPr>
        <w:t xml:space="preserve">. Any Special Interest that accrues on a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7.03(A)</w:t>
      </w:r>
      <w:r>
        <w:rPr>
          <w:rFonts w:ascii="Times New Roman" w:hAnsi="Times New Roman"/>
          <w:sz w:val="20"/>
        </w:rPr>
        <w:t xml:space="preserve"> will be payable on the 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regardless of the number of events giving rise to such accrual;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Special Interest, together with any Additional Interest,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Election</w:t>
      </w:r>
      <w:r>
        <w:rPr>
          <w:rFonts w:ascii="Times New Roman" w:hAnsi="Times New Roman"/>
          <w:sz w:val="20"/>
        </w:rPr>
        <w:t xml:space="preserve">. To make the election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7.03(A)</w:t>
      </w:r>
      <w:r>
        <w:rPr>
          <w:rFonts w:ascii="Times New Roman" w:hAnsi="Times New Roman"/>
          <w:sz w:val="20"/>
        </w:rPr>
        <w:t xml:space="preserve">, the Company must send to the Holders, the Trustee and the Paying Agent, before the date on which each Reporting Event of Default first occurs, a notice that (i) briefly describes the report(s) that the Parent Guarantor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Trustee and Paying Agent; Trustee’s Disclaimer</w:t>
      </w:r>
      <w:r>
        <w:rPr>
          <w:rFonts w:ascii="Times New Roman" w:hAnsi="Times New Roman"/>
          <w:sz w:val="20"/>
        </w:rPr>
        <w:t xml:space="preserve">.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Neither the Trustee nor the Paying Agent will have any duty or obligation to determine and/or verify whether any Special Interest is payable or the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Effect on Other Events of Default</w:t>
      </w:r>
      <w:r>
        <w:rPr>
          <w:rFonts w:ascii="Times New Roman" w:hAnsi="Times New Roman"/>
          <w:sz w:val="20"/>
        </w:rPr>
        <w:t xml:space="preserve">. No election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with respect to a Reporting Event of Default will affect the rights of any Holder with respect to any other Event of Default, including with respect to any other Reporting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7.04 OTHER REMEDIES.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Trustee May Pursue All Remedies</w:t>
      </w:r>
      <w:r>
        <w:rPr>
          <w:rFonts w:ascii="Times New Roman" w:hAnsi="Times New Roman"/>
          <w:sz w:val="20"/>
        </w:rPr>
        <w:t xml:space="preserve">. If an Event of Default occurs and is continuing, then the Trustee may pursue any available remedy to collect the payment of any amounts due with respect to the Notes or to enforce the performance of any provision of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Procedural Matters</w:t>
      </w:r>
      <w:r>
        <w:rPr>
          <w:rFonts w:ascii="Times New Roman" w:hAnsi="Times New Roman"/>
          <w:sz w:val="20"/>
        </w:rPr>
        <w:t xml:space="preserve">.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7.05 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A Default that is (or, after notice, passage of time or both, would be) an Event of Default pursuant to </w:t>
      </w:r>
      <w:r>
        <w:rPr>
          <w:rFonts w:ascii="Times New Roman" w:hAnsi="Times New Roman"/>
          <w:b/>
          <w:sz w:val="20"/>
        </w:rPr>
        <w:t>clause (i)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w:t>
      </w:r>
      <w:r>
        <w:rPr>
          <w:rFonts w:ascii="Times New Roman" w:hAnsi="Times New Roman"/>
          <w:b/>
          <w:sz w:val="20"/>
        </w:rPr>
        <w:t>(iv)</w:t>
      </w:r>
      <w:r>
        <w:rPr>
          <w:rFonts w:ascii="Times New Roman" w:hAnsi="Times New Roman"/>
          <w:sz w:val="20"/>
        </w:rPr>
        <w:t xml:space="preserve"> or </w:t>
      </w:r>
      <w:r>
        <w:rPr>
          <w:rFonts w:ascii="Times New Roman" w:hAnsi="Times New Roman"/>
          <w:b/>
          <w:sz w:val="20"/>
        </w:rPr>
        <w:t>(vi)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(that, in the case of </w:t>
      </w:r>
      <w:r>
        <w:rPr>
          <w:rFonts w:ascii="Times New Roman" w:hAnsi="Times New Roman"/>
          <w:b/>
          <w:sz w:val="20"/>
        </w:rPr>
        <w:t>clause (vi)</w:t>
      </w:r>
      <w:r>
        <w:rPr>
          <w:rFonts w:ascii="Times New Roman" w:hAnsi="Times New Roman"/>
          <w:sz w:val="20"/>
        </w:rPr>
        <w:t xml:space="preserve"> only, results from a Default under any covenant that cannot be amended without the consent of each affected Holder) can be waived only with the consent of each affected Holder. Each other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impair any right arising therefrom. Each such waiver of a Default will have the effect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8.04(D)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7.06 CURE OF DEFAULTS; ABILITY TO CURE OR WAIVE BEFORE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without limiting the manner in which any Default can be cured, (A) a Default consisting of a failure to send a notice in accordance with this Indenture will be cured upon the sending of such notice; (B) a Default in making any payment on (or delivering any other consideration in respect of) any Note will be cured upon the delivery, in accordance with this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 In addition, for the avoidance of doubt, (A) if a Default that is not an Event of Default is cured or waived before such Default would have constituted an Event of Default, then no Event of Default will result from such Default and (B) the cure of any Default shall not affect obligation to pay interest that accrued prior to the time of such cure as a result of such Default.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7.07 CONTROL BY MAJORITY.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the Trustee determines may be unduly prejudicial to the rights of other Holders (it being understood that the Trustee shall not have any duty or obligation to determine if such direction is unduly prejudicial to the rights of such other Holders) or may involve the Trustee in liability, unless the Trustee is offered (and, if requested, provided with) security and/or indemnity satisfactory to the Trustee against any loss, liability or expense to the Trustee that may result from the Trustee’s following such direction.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7.08 LIMITATION ON SUITS. </w:t>
      </w:r>
    </w:p>
    <w:p>
      <w:pPr>
        <w:pStyle w:val="TextBody"/>
        <w:bidi w:val="0"/>
        <w:spacing w:before="120" w:after="0"/>
        <w:jc w:val="left"/>
        <w:rPr>
          <w:rFonts w:ascii="Times New Roman" w:hAnsi="Times New Roman"/>
          <w:sz w:val="20"/>
        </w:rPr>
      </w:pPr>
      <w:r>
        <w:rPr>
          <w:rFonts w:ascii="Times New Roman" w:hAnsi="Times New Roman"/>
          <w:sz w:val="20"/>
        </w:rPr>
        <w:t xml:space="preserve">No Holder may pursue any remedy with respect to this Indenture or the Notes (except to enforce (x) its rights to receive the principal of, or the Fundamental Change Repurchase Price or Redemption Price for, or any interest on, or the Maturity Premium, if any, in respect of, any Notes; or (y) the Company’s obligations to Exchange any Notes pursuant to </w:t>
      </w:r>
      <w:r>
        <w:rPr>
          <w:rFonts w:ascii="Times New Roman" w:hAnsi="Times New Roman"/>
          <w:b/>
          <w:sz w:val="20"/>
        </w:rPr>
        <w:t>Article 5</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delivered to the Trustee notice that an Event of Default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Holders of at least twenty five percent (25%) in aggregate principal amount of the Notes then outstanding deliver a request to the Trustee to pursue such remedy;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offer and, if requested, provide to the Trustee security and/or indemnity satisfactory to the Trustee against any loss, liability or expense to the Trustee that may result from the Trustee’s following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does not comply with such request within sixty (60) calendar days after its receipt of such request and such offer of security and/or indemnity;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sixty (60) calendar day period, Holders of a majority in aggregate principal amount of the Notes then outstanding do not deliver to the Trustee a direction that is inconsistent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of a Note may not use this Indenture to prejudice the rights of another Holder or to obtain a preference or priority over another Holder. The Trustee will have no duty or obligation to determine and/or verify whether any Holder’s use of this Indenture complies with the preceding sentence.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7.09 ABSOLUTE RIGHT OF HOLDERS TO INSTITUTE SUIT FOR THE ENFORCEMENT OF THE RIGHT TO RECEIVE PAYMENT AND EXCHANGE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Indenture or the Notes (but without limiting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the right of each Holder of a Note to bring suit for the enforcement of any payment or delivery, as applicable, of the principal of, or the Fundamental Change Repurchase Price or Redemption Price for, or any interest on, or the Maturity Premium, if any, in respect of, or the Exchange Consideration due pursuant to </w:t>
      </w:r>
      <w:r>
        <w:rPr>
          <w:rFonts w:ascii="Times New Roman" w:hAnsi="Times New Roman"/>
          <w:b/>
          <w:sz w:val="20"/>
        </w:rPr>
        <w:t>Article 5</w:t>
      </w:r>
      <w:r>
        <w:rPr>
          <w:rFonts w:ascii="Times New Roman" w:hAnsi="Times New Roman"/>
          <w:sz w:val="20"/>
        </w:rPr>
        <w:t xml:space="preserve"> upon Exchange of, such Note on or after the respective due dates therefor provided in this Indenture and the Notes, will not be impaired or affected without the consent of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COLLECTION SUIT BY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have the right, upon the occurrence and continuance of an Event of Default pursuant to </w:t>
      </w:r>
      <w:r>
        <w:rPr>
          <w:rFonts w:ascii="Times New Roman" w:hAnsi="Times New Roman"/>
          <w:b/>
          <w:sz w:val="20"/>
        </w:rPr>
        <w:t>clause (i)</w:t>
      </w:r>
      <w:r>
        <w:rPr>
          <w:rFonts w:ascii="Times New Roman" w:hAnsi="Times New Roman"/>
          <w:sz w:val="20"/>
        </w:rPr>
        <w:t xml:space="preserve">, </w:t>
      </w:r>
      <w:r>
        <w:rPr>
          <w:rFonts w:ascii="Times New Roman" w:hAnsi="Times New Roman"/>
          <w:b/>
          <w:sz w:val="20"/>
        </w:rPr>
        <w:t xml:space="preserve">(ii) </w:t>
      </w:r>
      <w:r>
        <w:rPr>
          <w:rFonts w:ascii="Times New Roman" w:hAnsi="Times New Roman"/>
          <w:sz w:val="20"/>
        </w:rPr>
        <w:t xml:space="preserve">or </w:t>
      </w:r>
      <w:r>
        <w:rPr>
          <w:rFonts w:ascii="Times New Roman" w:hAnsi="Times New Roman"/>
          <w:b/>
          <w:sz w:val="20"/>
        </w:rPr>
        <w:t>(iv)</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to recover judgment in its own name and as trustee of an express trust against the Company for the total unpaid or undelivered principal of, or Fundamental Change Repurchase Price or Redemption Price for, or any interest on, or the Maturity Premium, if any, in respect of, or Exchange Consideration due pursuant to </w:t>
      </w:r>
      <w:r>
        <w:rPr>
          <w:rFonts w:ascii="Times New Roman" w:hAnsi="Times New Roman"/>
          <w:b/>
          <w:sz w:val="20"/>
        </w:rPr>
        <w:t>Article 5</w:t>
      </w:r>
      <w:r>
        <w:rPr>
          <w:rFonts w:ascii="Times New Roman" w:hAnsi="Times New Roman"/>
          <w:sz w:val="20"/>
        </w:rPr>
        <w:t xml:space="preserve"> upon Exchange of, the Notes, as applicable, and, to the extent lawful, any Default Interest on any Defaulted Amounts, and such further amounts sufficient to cover the costs and expenses of collection, including compensation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TRUSTEE MAY FILE PROOFS OF CLAIM. </w:t>
      </w:r>
    </w:p>
    <w:p>
      <w:pPr>
        <w:pStyle w:val="TextBody"/>
        <w:bidi w:val="0"/>
        <w:spacing w:before="120" w:after="0"/>
        <w:jc w:val="left"/>
        <w:rPr>
          <w:rFonts w:ascii="Times New Roman" w:hAnsi="Times New Roman"/>
          <w:sz w:val="20"/>
        </w:rPr>
      </w:pPr>
      <w:r>
        <w:rPr>
          <w:rFonts w:ascii="Times New Roman" w:hAnsi="Times New Roman"/>
          <w:sz w:val="20"/>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7.12 PRIORITIES.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pay or deliver in the following order any money or other property that it collects pursuant to this </w:t>
      </w:r>
      <w:r>
        <w:rPr>
          <w:rFonts w:ascii="Times New Roman" w:hAnsi="Times New Roman"/>
          <w:b/>
          <w:sz w:val="20"/>
        </w:rPr>
        <w:t>Article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(in each of its capacities under this Indenture, including as a Note Agent) and its agents and attorneys for amounts due under this Indenture, including, without limitation, under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hereof, including payment of all fees and compensation of, and all expenses and liabilities incurred, and all advances made, by, the Trustee (in each of its capacities under this Indenture, including as a Note Agent) and the costs and expenses of collection;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for unpaid amounts or other property due on the Notes, including the principal of, or the Fundamental Change Repurchase Price or Redemption Price for, or any interest on, or the Maturity Premium, if any, in respect of, or any Exchange Consideration due upon Exchange of, the Notes, ratably, and without preference or priority of any kind, according to such amounts or other property due and payable on all of the Notes; and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Company or such other Person as a court of competent jurisdiction directs.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or delivery to the Holders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7.13 UNDERTAKING FOR COSTS.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does not apply to any suit by the Trustee, any suit by a Holder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or any suit by one or more Holders of more than ten percent (10%) in aggregate principal amount of the Notes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7.14 RESTORATION OF RIGHTS.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has proceeded to enforce any right under this Indenture and such proceedings are discontinued or abandoned because of any waiver under this Indenture or any rescission and annulment under this Indenture or are determined adversely to the Trustee, then the Company, the Holders and the Trustee will, subject to any determination in such proceeding, be restored to their respective several positions and rights under this Indenture, and all rights, remedies and powers of the Company, the Holders and the Trustee will continue as though no such proceeding had been instituted.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WITHOUT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the Company, the Parent Guarantor and the Trustee may amend or supplement this Indenture, the Notes or the Guarantee without the consent of any Holder to: </w:t>
      </w:r>
    </w:p>
    <w:p>
      <w:pPr>
        <w:pStyle w:val="TextBody"/>
        <w:bidi w:val="0"/>
        <w:spacing w:before="120" w:after="0"/>
        <w:jc w:val="left"/>
        <w:rPr>
          <w:rFonts w:ascii="Times New Roman" w:hAnsi="Times New Roman"/>
          <w:sz w:val="20"/>
        </w:rPr>
      </w:pPr>
      <w:r>
        <w:rPr>
          <w:rFonts w:ascii="Times New Roman" w:hAnsi="Times New Roman"/>
          <w:sz w:val="20"/>
        </w:rPr>
        <w:t xml:space="preserve">(A) cure any ambiguity or correct any omission, defect or inconsistency in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(B) add additional guarantees with respect to the Company’s obligations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(C) secure the Notes or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add to the Company’s or the Parent Guarantor’s covenants or Events of Default for the benefit of the Holders or surrender any right or power conferred on the Company or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(E) provide for the assumption of the Company’s or the Parent Guarantor’s obligations under this Indenture, the Notes and each Registration Rights Agreement pursuant to, and in compliance with, </w:t>
      </w:r>
      <w:r>
        <w:rPr>
          <w:rFonts w:ascii="Times New Roman" w:hAnsi="Times New Roman"/>
          <w:b/>
          <w:sz w:val="20"/>
        </w:rPr>
        <w:t>Article 6</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enter into supplemental indentures pursuant to, and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in connection with a Common Stock Change Event; </w:t>
      </w:r>
    </w:p>
    <w:p>
      <w:pPr>
        <w:pStyle w:val="TextBody"/>
        <w:bidi w:val="0"/>
        <w:spacing w:before="240" w:after="0"/>
        <w:jc w:val="left"/>
        <w:rPr>
          <w:rFonts w:ascii="Times New Roman" w:hAnsi="Times New Roman"/>
          <w:sz w:val="20"/>
        </w:rPr>
      </w:pPr>
      <w:r>
        <w:rPr>
          <w:rFonts w:ascii="Times New Roman" w:hAnsi="Times New Roman"/>
          <w:sz w:val="20"/>
        </w:rPr>
        <w:t xml:space="preserve">(G) irrevocably elect or eliminate any Settlement Method or Specified Dollar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 such election or elimination will affect any Settlement Method theretofore elected (or deemed to be elected) with respect to any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5.03(A)</w:t>
      </w:r>
      <w:r>
        <w:rPr>
          <w:rFonts w:ascii="Times New Roman" w:hAnsi="Times New Roman"/>
          <w:sz w:val="20"/>
        </w:rPr>
        <w:t xml:space="preserve">; and (ii) such irrevocable election or elimination can in no event result in a Specified Dollar Amount of less than $1,000 per $1,000 principal amount of Notes applying to the Exchange of any Note; </w:t>
      </w:r>
    </w:p>
    <w:p>
      <w:pPr>
        <w:pStyle w:val="TextBody"/>
        <w:bidi w:val="0"/>
        <w:spacing w:before="240" w:after="0"/>
        <w:jc w:val="left"/>
        <w:rPr>
          <w:rFonts w:ascii="Times New Roman" w:hAnsi="Times New Roman"/>
          <w:sz w:val="20"/>
        </w:rPr>
      </w:pPr>
      <w:r>
        <w:rPr>
          <w:rFonts w:ascii="Times New Roman" w:hAnsi="Times New Roman"/>
          <w:sz w:val="20"/>
        </w:rPr>
        <w:t xml:space="preserve">(H) evidence or provide for the acceptance of the appointment, under this Indenture,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 conform the provisions of this Indenture and the Notes to the “Description of Notes” section of the Company’s preliminary offering memorandum, dated September 14, 2026, as supplemented by the related pricing term sheet, dated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(J) provide for or confirm the issuance of additional Notes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comply with any requirement of the SEC in connection with any qualification of this Indenture, or any related supplemental indenture, under the Trust Indenture Act, as then in effect; or </w:t>
      </w:r>
    </w:p>
    <w:p>
      <w:pPr>
        <w:pStyle w:val="TextBody"/>
        <w:bidi w:val="0"/>
        <w:spacing w:before="240" w:after="0"/>
        <w:jc w:val="left"/>
        <w:rPr>
          <w:rFonts w:ascii="Times New Roman" w:hAnsi="Times New Roman"/>
          <w:sz w:val="20"/>
        </w:rPr>
      </w:pPr>
      <w:r>
        <w:rPr>
          <w:rFonts w:ascii="Times New Roman" w:hAnsi="Times New Roman"/>
          <w:sz w:val="20"/>
        </w:rPr>
        <w:t xml:space="preserve">(L) make any other change to this Indenture or the Notes that does not, individually or in the aggregate with all other such changes, adversely affect the rights of the Holders, as such, in any material respect, as determined by the Company in good faith. </w:t>
      </w:r>
    </w:p>
    <w:p>
      <w:pPr>
        <w:pStyle w:val="TextBody"/>
        <w:bidi w:val="0"/>
        <w:spacing w:before="240" w:after="0"/>
        <w:jc w:val="left"/>
        <w:rPr>
          <w:rFonts w:ascii="Times New Roman" w:hAnsi="Times New Roman"/>
          <w:sz w:val="20"/>
        </w:rPr>
      </w:pPr>
      <w:r>
        <w:rPr>
          <w:rFonts w:ascii="Times New Roman" w:hAnsi="Times New Roman"/>
          <w:sz w:val="20"/>
        </w:rPr>
        <w:t xml:space="preserve">At the written request of any Holder of a Note or owner of a beneficial interest in a Global Note, the Company will provide a copy of the “Description of Notes” section and pricing term sheet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8.02 WITH THE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Subject to </w:t>
      </w:r>
      <w:r>
        <w:rPr>
          <w:rFonts w:ascii="Times New Roman" w:hAnsi="Times New Roman"/>
          <w:b/>
          <w:sz w:val="20"/>
        </w:rPr>
        <w:t>Sections 8.01</w:t>
      </w:r>
      <w:r>
        <w:rPr>
          <w:rFonts w:ascii="Times New Roman" w:hAnsi="Times New Roman"/>
          <w:sz w:val="20"/>
        </w:rPr>
        <w:t xml:space="preserve">, </w:t>
      </w:r>
      <w:r>
        <w:rPr>
          <w:rFonts w:ascii="Times New Roman" w:hAnsi="Times New Roman"/>
          <w:b/>
          <w:sz w:val="20"/>
        </w:rPr>
        <w:t>7.05</w:t>
      </w:r>
      <w:r>
        <w:rPr>
          <w:rFonts w:ascii="Times New Roman" w:hAnsi="Times New Roman"/>
          <w:sz w:val="20"/>
        </w:rPr>
        <w:t xml:space="preserve"> and </w:t>
      </w:r>
      <w:r>
        <w:rPr>
          <w:rFonts w:ascii="Times New Roman" w:hAnsi="Times New Roman"/>
          <w:b/>
          <w:sz w:val="20"/>
        </w:rPr>
        <w:t>7.09</w:t>
      </w:r>
      <w:r>
        <w:rPr>
          <w:rFonts w:ascii="Times New Roman" w:hAnsi="Times New Roman"/>
          <w:sz w:val="20"/>
        </w:rPr>
        <w:t xml:space="preserve"> and the immediately following sentence, the Company, the Parent Guarantor and the Trustee may, with the consent of the Holders of a majority in aggregate principal amount of the Notes then outstanding, amend or supplement this Indenture, the Notes or the Guarantee or waive compliance with any provision of this Indenture, the Notes or the Guarantee. Notwithstanding anything to the contrary in the foregoing sentence,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without the consent of each affected Holder, no amendment or supplement to this Indenture, the Notes or the Guarantee, or waiver of any provision of this Indenture, the Notes or the Guarantee, may: </w:t>
      </w:r>
    </w:p>
    <w:p>
      <w:pPr>
        <w:pStyle w:val="TextBody"/>
        <w:bidi w:val="0"/>
        <w:spacing w:before="120" w:after="0"/>
        <w:jc w:val="left"/>
        <w:rPr>
          <w:rFonts w:ascii="Times New Roman" w:hAnsi="Times New Roman"/>
          <w:sz w:val="20"/>
        </w:rPr>
      </w:pPr>
      <w:r>
        <w:rPr>
          <w:rFonts w:ascii="Times New Roman" w:hAnsi="Times New Roman"/>
          <w:sz w:val="20"/>
        </w:rPr>
        <w:t xml:space="preserve">(i) reduce the principal, or change the stated maturity, of any Note; </w:t>
      </w:r>
    </w:p>
    <w:p>
      <w:pPr>
        <w:pStyle w:val="TextBody"/>
        <w:bidi w:val="0"/>
        <w:spacing w:before="120" w:after="0"/>
        <w:jc w:val="left"/>
        <w:rPr>
          <w:rFonts w:ascii="Times New Roman" w:hAnsi="Times New Roman"/>
          <w:sz w:val="20"/>
        </w:rPr>
      </w:pPr>
      <w:r>
        <w:rPr>
          <w:rFonts w:ascii="Times New Roman" w:hAnsi="Times New Roman"/>
          <w:sz w:val="20"/>
        </w:rPr>
        <w:t xml:space="preserve">(ii) reduce the Redemption Price or Fundamental Change Repurchase Price for any Note or change the times at which, or the circumstances under which, the Notes may or will be redeemed or repurchased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rate, or extend the time for the payment,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(iv) reduce the Maturity Premium or change the times at which, or the circumstances under which, the Maturity Premium is payable with respect to 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make any change that adversely affects the Exchange rights of any Note; </w:t>
      </w:r>
    </w:p>
    <w:p>
      <w:pPr>
        <w:pStyle w:val="TextBody"/>
        <w:bidi w:val="0"/>
        <w:spacing w:before="120" w:after="0"/>
        <w:jc w:val="left"/>
        <w:rPr>
          <w:rFonts w:ascii="Times New Roman" w:hAnsi="Times New Roman"/>
          <w:sz w:val="20"/>
        </w:rPr>
      </w:pPr>
      <w:r>
        <w:rPr>
          <w:rFonts w:ascii="Times New Roman" w:hAnsi="Times New Roman"/>
          <w:sz w:val="20"/>
        </w:rPr>
        <w:t xml:space="preserve">(vi) impair the rights of any Holder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(as such section is in effect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(vii) change the ranking of the Notes or the Guarantee;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in accordance with this Indenture, eliminate the Guarantee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(ix) make any Note payable in money, or at a place of payment, other than that stated in this Indenture or the Note; </w:t>
      </w:r>
    </w:p>
    <w:p>
      <w:pPr>
        <w:pStyle w:val="TextBody"/>
        <w:bidi w:val="0"/>
        <w:spacing w:before="120" w:after="0"/>
        <w:jc w:val="left"/>
        <w:rPr>
          <w:rFonts w:ascii="Times New Roman" w:hAnsi="Times New Roman"/>
          <w:sz w:val="20"/>
        </w:rPr>
      </w:pPr>
      <w:r>
        <w:rPr>
          <w:rFonts w:ascii="Times New Roman" w:hAnsi="Times New Roman"/>
          <w:sz w:val="20"/>
        </w:rPr>
        <w:t xml:space="preserve">(x) reduce the amount of Notes whose Holders must consent to any amendment, supplement, waiver or other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(xi) make any direct or indirect change to any amendment, supplement, waiver or modification provision of this Indenture or the Notes that requires the consent of each affected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Holders Need Not Approve the Particular Form of any Amendment</w:t>
      </w:r>
      <w:r>
        <w:rPr>
          <w:rFonts w:ascii="Times New Roman" w:hAnsi="Times New Roman"/>
          <w:sz w:val="20"/>
        </w:rPr>
        <w:t xml:space="preserve">. A consent of any Holder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8.02 </w:t>
      </w:r>
      <w:r>
        <w:rPr>
          <w:rFonts w:ascii="Times New Roman" w:hAnsi="Times New Roman"/>
          <w:sz w:val="20"/>
        </w:rPr>
        <w:t xml:space="preserve">need approve only the substance, and not necessarily the particular form, of the proposed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8.03 NOTICE OF AMENDMENTS, SUPPLEMENTS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any amendment, supplement or waiver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or </w:t>
      </w:r>
      <w:r>
        <w:rPr>
          <w:rFonts w:ascii="Times New Roman" w:hAnsi="Times New Roman"/>
          <w:b/>
          <w:sz w:val="20"/>
        </w:rPr>
        <w:t>8.02</w:t>
      </w:r>
      <w:r>
        <w:rPr>
          <w:rFonts w:ascii="Times New Roman" w:hAnsi="Times New Roman"/>
          <w:sz w:val="20"/>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8.04 REVOCATION, EFFECT AND SOLICITATION OF CONSENTS; SPECIAL RECORD DATES;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Revocation and Effect of Consents</w:t>
      </w:r>
      <w:r>
        <w:rPr>
          <w:rFonts w:ascii="Times New Roman" w:hAnsi="Times New Roman"/>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8.04(B)</w:t>
      </w:r>
      <w:r>
        <w:rPr>
          <w:rFonts w:ascii="Times New Roman" w:hAnsi="Times New Roman"/>
          <w:sz w:val="20"/>
        </w:rPr>
        <w:t xml:space="preserve">) any such consent with respect to such Note by delivering notice of revocation to the Trustee before the time such amendment, supplement or waiver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Special Record Dates</w:t>
      </w:r>
      <w:r>
        <w:rPr>
          <w:rFonts w:ascii="Times New Roman" w:hAnsi="Times New Roman"/>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hAnsi="Times New Roman"/>
          <w:b/>
          <w:sz w:val="20"/>
        </w:rPr>
        <w:t>Article 8</w:t>
      </w:r>
      <w:r>
        <w:rPr>
          <w:rFonts w:ascii="Times New Roman" w:hAnsi="Times New Roman"/>
          <w:sz w:val="20"/>
        </w:rPr>
        <w:t xml:space="preserve">. If a record date is fixed, then,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8.04(A)</w:t>
      </w:r>
      <w:r>
        <w:rPr>
          <w:rFonts w:ascii="Times New Roman" w:hAnsi="Times New Roman"/>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will be valid or effective for more than one hundred and twenty (120) calendar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Solicitation of Consents</w:t>
      </w:r>
      <w:r>
        <w:rPr>
          <w:rFonts w:ascii="Times New Roman" w:hAnsi="Times New Roman"/>
          <w:sz w:val="20"/>
        </w:rPr>
        <w:t xml:space="preserve">. For the avoidance of doubt, each reference in this Indenture or the Notes to the consent of a Holder will be deemed to include any such consent obtained in connection with a repurchase of, or tender or exchange offer for, 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Effectiveness and Binding Effect</w:t>
      </w:r>
      <w:r>
        <w:rPr>
          <w:rFonts w:ascii="Times New Roman" w:hAnsi="Times New Roman"/>
          <w:sz w:val="20"/>
        </w:rPr>
        <w:t xml:space="preserve">. Each amendment or supplement to this Indenture, the Notes or the Guarantee, or waiver of any Default, Event of Default or compliance with any provision of this Indenture, the Notes or the Guarantee, will become effective in accordance with its terms and, when it becomes effective with respect to any Note (or any portion thereof), will thereafter bind every Holder of such Note (or such portion).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8.05 NOTATIONS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If any amendment, supplement or waiver changes the terms of a Note or the Guarantee, then the Trustee or the Company may, but shall not be obligated to,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upon receipt of a Company Order, and the Trustee will authenticate, in each case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a new Note that reflects the changed terms. The failure to make any appropriate notation or issue a new Note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will not impair or affect the validity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8.06 TRUSTEE TO EXECUTE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execute and deliver any amendment or supplemental indenture authorized pursuant to this </w:t>
      </w:r>
      <w:r>
        <w:rPr>
          <w:rFonts w:ascii="Times New Roman" w:hAnsi="Times New Roman"/>
          <w:b/>
          <w:sz w:val="20"/>
        </w:rPr>
        <w:t>Article 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need not (but may, in its sole and absolute discretion) execute or deliver any such amendment or supplemental indenture that the Trustee concludes adversely affects the Trustee’s rights, duties, liabilities, indemnities, protections, or immunities. In executing any amendment or supplemental indenture, the Trustee will be entitled to receive, and (subject to </w:t>
      </w:r>
      <w:r>
        <w:rPr>
          <w:rFonts w:ascii="Times New Roman" w:hAnsi="Times New Roman"/>
          <w:b/>
          <w:sz w:val="20"/>
        </w:rPr>
        <w:t xml:space="preserve">Sections 11.01 </w:t>
      </w:r>
      <w:r>
        <w:rPr>
          <w:rFonts w:ascii="Times New Roman" w:hAnsi="Times New Roman"/>
          <w:sz w:val="20"/>
        </w:rPr>
        <w:t xml:space="preserve">and </w:t>
      </w:r>
      <w:r>
        <w:rPr>
          <w:rFonts w:ascii="Times New Roman" w:hAnsi="Times New Roman"/>
          <w:b/>
          <w:sz w:val="20"/>
        </w:rPr>
        <w:t>11.02</w:t>
      </w:r>
      <w:r>
        <w:rPr>
          <w:rFonts w:ascii="Times New Roman" w:hAnsi="Times New Roman"/>
          <w:sz w:val="20"/>
        </w:rPr>
        <w:t xml:space="preserve">)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GUARANTEE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9.01 GUARANTEE.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By its execution of this Indenture (or any amended or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8.01(B)</w:t>
      </w:r>
      <w:r>
        <w:rPr>
          <w:rFonts w:ascii="Times New Roman" w:hAnsi="Times New Roman"/>
          <w:sz w:val="20"/>
        </w:rPr>
        <w:t xml:space="preserve">), the Parent Guarantor acknowledges and agrees that it receives substantial benefits from the Company and that the Parent Guarantor is providing its Guarantee for good and valuable consideration, including such substantial benefits. Subject to this </w:t>
      </w:r>
      <w:r>
        <w:rPr>
          <w:rFonts w:ascii="Times New Roman" w:hAnsi="Times New Roman"/>
          <w:b/>
          <w:sz w:val="20"/>
        </w:rPr>
        <w:t>Article 9</w:t>
      </w:r>
      <w:r>
        <w:rPr>
          <w:rFonts w:ascii="Times New Roman" w:hAnsi="Times New Roman"/>
          <w:sz w:val="20"/>
        </w:rPr>
        <w:t xml:space="preserve">, the Parent Guarantor hereby fully and unconditionally guarantees, to each Holder of a Note authenticated and delivered by the Trustee and to the Trustee and its successors and assigns, regardless of the validity or enforceability of this Indenture, the Notes or the obligations of the Company under this Indenture or the Notes, that: </w:t>
      </w:r>
    </w:p>
    <w:p>
      <w:pPr>
        <w:pStyle w:val="TextBody"/>
        <w:bidi w:val="0"/>
        <w:spacing w:before="120" w:after="0"/>
        <w:jc w:val="left"/>
        <w:rPr>
          <w:rFonts w:ascii="Times New Roman" w:hAnsi="Times New Roman"/>
          <w:sz w:val="20"/>
        </w:rPr>
      </w:pPr>
      <w:r>
        <w:rPr>
          <w:rFonts w:ascii="Times New Roman" w:hAnsi="Times New Roman"/>
          <w:sz w:val="20"/>
        </w:rPr>
        <w:t xml:space="preserve">(i) the principal of, any interest on, the Maturity Premium, if any, in respect of, and any Exchange Consideration for, the Notes will be promptly paid in full when due, whether at maturity, by acceleration, on a Fundamental Change Repurchase Date, upon Redemption or otherwise, and interest on the overdue principal of, any interest on, the Maturity Premium, if any, in respect of, or any Exchange Consideration for, the Notes, if lawful, and all other obligations of the Company to the Holders or the Trustee (including in each of its capacities under this Indenture, including as a Note Agent) under this Indenture or the Notes, will be promptly paid or delivered in full or performed, as applicable, in each case in accordance with this Indenture and the Notes; and </w:t>
      </w:r>
    </w:p>
    <w:p>
      <w:pPr>
        <w:pStyle w:val="TextBody"/>
        <w:bidi w:val="0"/>
        <w:spacing w:before="120" w:after="0"/>
        <w:jc w:val="left"/>
        <w:rPr>
          <w:rFonts w:ascii="Times New Roman" w:hAnsi="Times New Roman"/>
          <w:sz w:val="20"/>
        </w:rPr>
      </w:pPr>
      <w:r>
        <w:rPr>
          <w:rFonts w:ascii="Times New Roman" w:hAnsi="Times New Roman"/>
          <w:sz w:val="20"/>
        </w:rPr>
        <w:t xml:space="preserve">(ii) in case of any extension of time of payment or renewal of any Notes or any of such other obligations, that the same will be promptly paid in full when due or performed in accordance with the terms of the extension or renewal, whether at stated maturity, by acceleration, on a Fundamental Change Repurchase Date, upon Redemption or otherwise, </w:t>
      </w:r>
    </w:p>
    <w:p>
      <w:pPr>
        <w:pStyle w:val="TextBody"/>
        <w:bidi w:val="0"/>
        <w:spacing w:before="240" w:after="0"/>
        <w:jc w:val="left"/>
        <w:rPr>
          <w:rFonts w:ascii="Times New Roman" w:hAnsi="Times New Roman"/>
          <w:sz w:val="20"/>
        </w:rPr>
      </w:pPr>
      <w:r>
        <w:rPr>
          <w:rFonts w:ascii="Times New Roman" w:hAnsi="Times New Roman"/>
          <w:sz w:val="20"/>
        </w:rPr>
        <w:t>(collectively, the “</w:t>
      </w:r>
      <w:r>
        <w:rPr>
          <w:rFonts w:ascii="Times New Roman" w:hAnsi="Times New Roman"/>
          <w:b/>
          <w:sz w:val="20"/>
        </w:rPr>
        <w:t>Guaranteed Obligations</w:t>
      </w:r>
      <w:r>
        <w:rPr>
          <w:rFonts w:ascii="Times New Roman" w:hAnsi="Times New Roman"/>
          <w:sz w:val="20"/>
        </w:rPr>
        <w:t xml:space="preserve">”), in each case subject to </w:t>
      </w: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failure of any payment when due of any amount so guaranteed, and upon the failure of any performance so guaranteed, for whatever reason, the Parent Guarantor will be obligated to pay or perform, as applicable, the same immediately. The Parent Guarantor agrees that this is a guarantee of payment and not a guarantee of collection.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Guarantee Is Unconditional; Waiver of Diligence, Presentment, Etc</w:t>
      </w:r>
      <w:r>
        <w:rPr>
          <w:rFonts w:ascii="Times New Roman" w:hAnsi="Times New Roman"/>
          <w:sz w:val="20"/>
        </w:rPr>
        <w:t xml:space="preserve">. The Parent Guarantor agrees that its Guarantee of the Guaranteed Obligations is unconditional, regardless of the validity or enforceability of this Indenture, the Notes or the obligations of the Company under this Indenture or the Notes, the absence of any action to enforce the same, any waiver or consent by any Holder with respect to any provisions of this Indenture or the Notes, the recovery of any judgment against the Company, any action to enforce the same or any other circumstance that might otherwise constitute a legal or equitable discharge or defense of a guarantor. The Parent Guarantor agrees that in the event of a default in any obligation of the Company under this Indenture or the Notes, including any payment of the principal of or interest on, the Maturity Premium, if any, in respect of, or any Exchange Consideration for the Notes when due, whether at maturity, by acceleration, on a Fundamental Change Repurchase Date or otherwise, legal proceedings may be instituted directly against the Parent Guarantor to enforce the Guarantee without first proceeding against the Company. The Parent Guarantor waives diligence, presentment, demand of payment, filing of claims with a court in the event of insolvency or bankruptcy of the Company, any right to require a proceeding first against the Company, protest, notice and all demands whatsoever, and covenants that this Guarantee will not be discharged except by complete performance of the obligations contained in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Reinstatement of Guarantee Upon Return of Payments</w:t>
      </w:r>
      <w:r>
        <w:rPr>
          <w:rFonts w:ascii="Times New Roman" w:hAnsi="Times New Roman"/>
          <w:sz w:val="20"/>
        </w:rPr>
        <w:t xml:space="preserve">. If any Holder or the Trustee is required by any court or otherwise to return, to the Company, the Parent Guarantor or any custodian, trustee, liquidator or other similar official acting in relation to the Company or the Parent Guarantor, any consideration paid or delivered by the Company or the Parent Guarantor to such Holder or the Trustee (including in each of its capacities under this Indenture, including as a Note Agent), then the Guarantee, to the extent theretofore discharged, will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Subrogation</w:t>
      </w:r>
      <w:r>
        <w:rPr>
          <w:rFonts w:ascii="Times New Roman" w:hAnsi="Times New Roman"/>
          <w:sz w:val="20"/>
        </w:rPr>
        <w:t xml:space="preserve">. The Parent Guarantor agrees that any right of subrogation, reimbursement or contribution it may have in relation to the Holders or in respect of any Guaranteed Obligations will be subordinated to, and will not be enforceable until payment in full of, all Guaranteed Obligations. The Parent Guarantor further agrees that, as between the Parent Guarantor, on the one hand, and the Holders and the Trustee (including in each of its capacities under this Indenture, including as a Note Agent), on the other hand, (i) the maturity of the Guaranteed Obligations may be accelerated as provided in </w:t>
      </w:r>
      <w:r>
        <w:rPr>
          <w:rFonts w:ascii="Times New Roman" w:hAnsi="Times New Roman"/>
          <w:b/>
          <w:sz w:val="20"/>
        </w:rPr>
        <w:t>Article 7</w:t>
      </w:r>
      <w:r>
        <w:rPr>
          <w:rFonts w:ascii="Times New Roman" w:hAnsi="Times New Roman"/>
          <w:sz w:val="20"/>
        </w:rPr>
        <w:t xml:space="preserve">, notwithstanding any stay, injunction or other prohibition preventing such acceleration in respect of the Guaranteed Obligations; and (ii) if any Guaranteed Obligations are accelerated pursuant to </w:t>
      </w:r>
      <w:r>
        <w:rPr>
          <w:rFonts w:ascii="Times New Roman" w:hAnsi="Times New Roman"/>
          <w:b/>
          <w:sz w:val="20"/>
        </w:rPr>
        <w:t>Article 7</w:t>
      </w:r>
      <w:r>
        <w:rPr>
          <w:rFonts w:ascii="Times New Roman" w:hAnsi="Times New Roman"/>
          <w:sz w:val="20"/>
        </w:rPr>
        <w:t xml:space="preserve">, then such Guaranteed Obligations will, whether or not due and payable, immediately become due and payable by the Parent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9.02 LIMITATION ON PARENT GUARANTOR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Parent Guarantor, and, by its acceptance of any Note, each Holder, confirms that the Parent Guarantor and the Holders intend that the Guarantee of the Parent Guarantor not constitute a fraudulent transfer or conveyance for purposes of Bankruptcy Law, the Uniform Fraudulent Conveyance Act, the Uniform Fraudulent Transfer Act or any similar federal or state law to the extent applicable to the Guarantee. Each of the Trustee, the Holders and the Parent Guarantor irrevocably agrees that the obligations of the Parent Guarantor under its Guarantee will be limited to the maximum amount that will, after giving effect to such maximum amount and all other contingent and fixed liabilities of the Parent Guarantor that are relevant under such laws, result in the obligations of the Parent Guarantor under its Guarantee not constituting a fraudulent transfer or conveyance.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9.03 EXECUTION AND DELIVERY OF GUARANTEE. </w:t>
      </w:r>
    </w:p>
    <w:p>
      <w:pPr>
        <w:pStyle w:val="TextBody"/>
        <w:bidi w:val="0"/>
        <w:spacing w:before="120" w:after="0"/>
        <w:jc w:val="left"/>
        <w:rPr>
          <w:rFonts w:ascii="Times New Roman" w:hAnsi="Times New Roman"/>
          <w:sz w:val="20"/>
        </w:rPr>
      </w:pPr>
      <w:r>
        <w:rPr>
          <w:rFonts w:ascii="Times New Roman" w:hAnsi="Times New Roman"/>
          <w:sz w:val="20"/>
        </w:rPr>
        <w:t xml:space="preserve">The execution by the Parent Guarantor of this Indenture (or an amended or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8.01(B)</w:t>
      </w:r>
      <w:r>
        <w:rPr>
          <w:rFonts w:ascii="Times New Roman" w:hAnsi="Times New Roman"/>
          <w:sz w:val="20"/>
        </w:rPr>
        <w:t xml:space="preserve">) evidences the Guarantee of the Parent Guarantor, and the delivery of any Note by the Trustee after its authentication constitutes due delivery of the Guarantee on behalf of the Parent Guarantor. A Guarantee’s validity will not be affected by the failure of any officer of the Parent Guarantor executing this Indenture or any such amended or supplemental indenture on the Parent Guarantor’s behalf to hold, at the time any Note is authenticated, the same or any other office at the Parent Guarantor, and the Guarantee will be valid and enforceable even if no notation, certificate or other instrument is set upon or attached to, or otherwise executed and delivered to the Holder of, any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9.04 WHEN THE PARENT GUARANTOR MAY MERGE,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Parent Guarantor Business Combination Events</w:t>
      </w:r>
      <w:r>
        <w:rPr>
          <w:rFonts w:ascii="Times New Roman" w:hAnsi="Times New Roman"/>
          <w:sz w:val="20"/>
        </w:rPr>
        <w:t>. The Parent Guarantor will not consolidate with or merge with or into, or (directly, or indirectly through one or more of its Subsidiaries) sell, lease or otherwise transfer, in one transaction or a series of transactions, all or substantially all of the assets of the Parent Guarantor and its Subsidiaries, taken as a whole, to another Person (a “</w:t>
      </w:r>
      <w:r>
        <w:rPr>
          <w:rFonts w:ascii="Times New Roman" w:hAnsi="Times New Roman"/>
          <w:b/>
          <w:sz w:val="20"/>
        </w:rPr>
        <w:t>Parent Guarantor Business Combination Event</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(i) the resulting, surviving or transferee Person either (x) is the Parent Guarantor or (y) if not the Parent Guarantor, is a Qualified Successor Entity (such Qualified Successor Entity, the “</w:t>
      </w:r>
      <w:r>
        <w:rPr>
          <w:rFonts w:ascii="Times New Roman" w:hAnsi="Times New Roman"/>
          <w:b/>
          <w:sz w:val="20"/>
        </w:rPr>
        <w:t>Parent Guarantor Successor Entity</w:t>
      </w:r>
      <w:r>
        <w:rPr>
          <w:rFonts w:ascii="Times New Roman" w:hAnsi="Times New Roman"/>
          <w:sz w:val="20"/>
        </w:rPr>
        <w:t xml:space="preserve">”) duly organized and existing under the laws of the United States of America, any State thereof or the District of Columbia that expressly assumes (by executing and delivering to the Trustee, at or before the effective time of such Parent Guarantor Business Combination Event, a supplemental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all of the Parent Guarantor’s obligations under this Indenture, the Notes and each Registration Rights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Parent Guarantor Business Combination Event, no Default will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Officer’s Certificate and Opinion of Counsel to the Trustee</w:t>
      </w:r>
      <w:r>
        <w:rPr>
          <w:rFonts w:ascii="Times New Roman" w:hAnsi="Times New Roman"/>
          <w:sz w:val="20"/>
        </w:rPr>
        <w:t xml:space="preserve">. At or before the effective time of any Parent Guarantor Business Combination Event, the Company will deliver to the Trustee an Officer’s Certificate and Opinion of Counsel, each stating that (i) such Parent Guarantor Business Combination Event (and, if applicable, the related supplemental indenture) comply with </w:t>
      </w:r>
      <w:r>
        <w:rPr>
          <w:rFonts w:ascii="Times New Roman" w:hAnsi="Times New Roman"/>
          <w:b/>
          <w:sz w:val="20"/>
        </w:rPr>
        <w:t>Section</w:t>
      </w:r>
      <w:r>
        <w:rPr>
          <w:rFonts w:ascii="Times New Roman" w:hAnsi="Times New Roman"/>
          <w:sz w:val="20"/>
        </w:rPr>
        <w:t> </w:t>
      </w:r>
      <w:r>
        <w:rPr>
          <w:rFonts w:ascii="Times New Roman" w:hAnsi="Times New Roman"/>
          <w:b/>
          <w:sz w:val="20"/>
        </w:rPr>
        <w:t>9.04(A)</w:t>
      </w:r>
      <w:r>
        <w:rPr>
          <w:rFonts w:ascii="Times New Roman" w:hAnsi="Times New Roman"/>
          <w:sz w:val="20"/>
        </w:rPr>
        <w:t xml:space="preserve">; and (ii) all conditions precedent to such Parent Guarantor Business Combination Event provided in this Indenture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Parent Guarantor Successor Entity Substituted</w:t>
      </w:r>
      <w:r>
        <w:rPr>
          <w:rFonts w:ascii="Times New Roman" w:hAnsi="Times New Roman"/>
          <w:sz w:val="20"/>
        </w:rPr>
        <w:t xml:space="preserve">. At the effective time of any Parent Guarantor Business Combination Event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9.04(A)</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9.04(B)</w:t>
      </w:r>
      <w:r>
        <w:rPr>
          <w:rFonts w:ascii="Times New Roman" w:hAnsi="Times New Roman"/>
          <w:sz w:val="20"/>
        </w:rPr>
        <w:t xml:space="preserve">, the Parent Guarantor Successor Entity (if not the Parent Guarantor) will succeed to, and may exercise every right and power of, the Parent Guarantor under this Indenture, the Notes, and each Registration Rights Agreement with the same effect as if such Parent Guarantor Successor Entity had been named as the Parent Guarantor in this Indenture, the Notes and each Registration Rights Agreement, and, except in the case of a lease, the predecessor Parent Guarantor will be discharged from its obligations under this Indenture, the Notes, and (unless the Underlying Security immediately after such Parent Guarantor Business Combination Event includes any securities of such predecessor Parent Guarantor) each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Exclusion for Asset Transfers by the Parent Guarantor to the Company or Wholly Owned Subsidiaries</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this </w:t>
      </w: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will not apply to any transfer of assets (other than by merger or consolidation) between or among (x) the Parent Guarantor; and (y) the Company or any one or more of the Company’s or the Parent Guarantor’s Wholly Owned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9.05 APPLICATION OF CERTAIN PROVISIONS TO THE PARENT GUARANTOR.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Officer’s Certificates and Opinions of Counsel</w:t>
      </w:r>
      <w:r>
        <w:rPr>
          <w:rFonts w:ascii="Times New Roman" w:hAnsi="Times New Roman"/>
          <w:sz w:val="20"/>
        </w:rPr>
        <w:t xml:space="preserve">. Upon any request or application by the Parent Guarantor to the Trustee to take any action under this Indenture, the Trustee will be entitled to receive an Officer’s Certificate and an Opinion of Counsel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12.02</w:t>
      </w:r>
      <w:r>
        <w:rPr>
          <w:rFonts w:ascii="Times New Roman" w:hAnsi="Times New Roman"/>
          <w:sz w:val="20"/>
        </w:rPr>
        <w:t xml:space="preserve"> with the same effect as if each reference to the Company in </w:t>
      </w:r>
      <w:r>
        <w:rPr>
          <w:rFonts w:ascii="Times New Roman" w:hAnsi="Times New Roman"/>
          <w:b/>
          <w:sz w:val="20"/>
        </w:rPr>
        <w:t>Section</w:t>
      </w:r>
      <w:r>
        <w:rPr>
          <w:rFonts w:ascii="Times New Roman" w:hAnsi="Times New Roman"/>
          <w:sz w:val="20"/>
        </w:rPr>
        <w:t> </w:t>
      </w:r>
      <w:r>
        <w:rPr>
          <w:rFonts w:ascii="Times New Roman" w:hAnsi="Times New Roman"/>
          <w:b/>
          <w:sz w:val="20"/>
        </w:rPr>
        <w:t>12.02</w:t>
      </w:r>
      <w:r>
        <w:rPr>
          <w:rFonts w:ascii="Times New Roman" w:hAnsi="Times New Roman"/>
          <w:sz w:val="20"/>
        </w:rPr>
        <w:t xml:space="preserve"> or in the definitions of “Officer,” “Officer’s Certificate” or “Opinion of Counsel” were instead a reference to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 Order</w:t>
      </w:r>
      <w:r>
        <w:rPr>
          <w:rFonts w:ascii="Times New Roman" w:hAnsi="Times New Roman"/>
          <w:sz w:val="20"/>
        </w:rPr>
        <w:t xml:space="preserve">. A Company Order may be given by the Parent Guarantor with the same effect as if each reference to the Company in the definitions of “Company Order” or “Officer” were instead a reference to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Notices and Demands</w:t>
      </w:r>
      <w:r>
        <w:rPr>
          <w:rFonts w:ascii="Times New Roman" w:hAnsi="Times New Roman"/>
          <w:sz w:val="20"/>
        </w:rPr>
        <w:t xml:space="preserve">. Any notice or demand that this Indenture requires or permits to be given by the Trustee, or by any Holders, to the Company may instead be given to the Parent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9.06 AUTOMATIC RELEASE OF GUARANTEE.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Article 9</w:t>
      </w:r>
      <w:r>
        <w:rPr>
          <w:rFonts w:ascii="Times New Roman" w:hAnsi="Times New Roman"/>
          <w:sz w:val="20"/>
        </w:rPr>
        <w:t xml:space="preserve">, the Guarantee of the Parent Guarantor will be automatically released, and the Parent Guarantor’s obligations under its Guarantee will be automatically released and discharged, and, in each case, be of no future force and effect, upon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the Company’s obligations under this Indenture and the Notes are discharged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merger or consolidation of the Parent Guarantor into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all remaining obligations to make payments or deliver other Exchange Consideration with respect to all Notes are discharged in full after the same has become due.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w:t>
      </w:r>
      <w:r>
        <w:rPr>
          <w:rFonts w:ascii="Times New Roman" w:hAnsi="Times New Roman"/>
          <w:b/>
          <w:sz w:val="20"/>
        </w:rPr>
        <w:t>Section</w:t>
      </w:r>
      <w:r>
        <w:rPr>
          <w:rFonts w:ascii="Times New Roman" w:hAnsi="Times New Roman"/>
          <w:sz w:val="20"/>
        </w:rPr>
        <w:t> </w:t>
      </w:r>
      <w:r>
        <w:rPr>
          <w:rFonts w:ascii="Times New Roman" w:hAnsi="Times New Roman"/>
          <w:b/>
          <w:sz w:val="20"/>
        </w:rPr>
        <w:t>9.06</w:t>
      </w:r>
      <w:r>
        <w:rPr>
          <w:rFonts w:ascii="Times New Roman" w:hAnsi="Times New Roman"/>
          <w:sz w:val="20"/>
        </w:rPr>
        <w:t xml:space="preserve"> will not limit the operation of </w:t>
      </w: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TERMINATION OF COMPANY’S OBLIGATIONS.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will be discharged, and will cease to be of further effect as to all Notes issued under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have (i) been delivered to the Trustee for cancellation; or (ii) become due and payable (whether on a Redemption Date, a Fundamental Change Repurchase Date, the Maturity Date, upon Exchange or otherwise) for an amount of cash or Exchange Consideration, as applicable, that has been fixed;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caused there to be irrevocably deposited with the Trustee, or with the Paying Agent (or, with respect to Exchange Consideration, the Exchange Agent), in each case for the benefit of the Holders, or has otherwise caused there to be delivered to the Holders, cash (or, with respect to Notes to be Exchanged, Exchange Consideration) sufficient to satisfy all amounts or other property due on all Notes then outstanding (other than Notes replaced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paid all other amounts payable by it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delivered to the Trustee an Officer’s Certificate and an Opinion of Counsel, each stating that the conditions precedent to the discharge of this Indenture have been satisfied;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b/>
          <w:sz w:val="20"/>
        </w:rPr>
        <w:t>Section</w:t>
      </w:r>
      <w:r>
        <w:rPr>
          <w:rFonts w:ascii="Times New Roman" w:hAnsi="Times New Roman"/>
          <w:sz w:val="20"/>
        </w:rPr>
        <w:t> </w:t>
      </w:r>
      <w:r>
        <w:rPr>
          <w:rFonts w:ascii="Times New Roman" w:hAnsi="Times New Roman"/>
          <w:b/>
          <w:sz w:val="20"/>
        </w:rPr>
        <w:t>2.10(E)</w:t>
      </w:r>
      <w:r>
        <w:rPr>
          <w:rFonts w:ascii="Times New Roman" w:hAnsi="Times New Roman"/>
          <w:sz w:val="20"/>
        </w:rPr>
        <w:t xml:space="preserve">, </w:t>
      </w:r>
      <w:r>
        <w:rPr>
          <w:rFonts w:ascii="Times New Roman" w:hAnsi="Times New Roman"/>
          <w:b/>
          <w:sz w:val="20"/>
        </w:rPr>
        <w:t>Article 11</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will survive such discharge and, until no Notes remain outstanding, </w:t>
      </w: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and the obligations of the Trustee, the Paying Agent, Registrar and the Exchange Agent with respect to money or other property deposited with them will survive such discharge.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written request, the Trustee will acknowledge the satisfaction and discharge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10.02 REPAYMENT TO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unclaimed property law, the Trustee, the Paying Agent and the Exchange Agent will promptly notify the Company if there exists (and, at the Company’s written request, promptly deliver to the Company) any cash, Exchange Consideration or other property held by any of them for payment or delivery on the Notes that remain unclaimed two (2) years after the date on which such payment or delivery was due. After such delivery to the Company, the Trustee, the Paying Agent and the Exchange Agent will have no further liability to any Holder with respect to such cash, Exchange Consideration or other property, and Holders entitled to the payment or delivery of such cash, Exchange Consideration or other property must look to the Company for payment as a general creditor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10.03 REINSTATEMENT.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the Paying Agent or the Exchange Agent is unable to apply any cash or other property deposited with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10.01 </w:t>
      </w:r>
      <w:r>
        <w:rPr>
          <w:rFonts w:ascii="Times New Roman" w:hAnsi="Times New Roman"/>
          <w:sz w:val="20"/>
        </w:rPr>
        <w:t xml:space="preserve">will be rescinded;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Exchange Agent,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DUTIES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and a Responsible Officer of the Trustee has written notice or actual knowledge of the same, then,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11.02(F)</w:t>
      </w:r>
      <w:r>
        <w:rPr>
          <w:rFonts w:ascii="Times New Roman" w:hAnsi="Times New Roman"/>
          <w:sz w:val="20"/>
        </w:rPr>
        <w:t xml:space="preserve">, the Trustee will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will examine the certificates and opinions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negligence or willful misconduct (as determined by a court of competent jurisdiction in a final, non-appealable decision),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will not limit the effect of </w:t>
      </w:r>
      <w:r>
        <w:rPr>
          <w:rFonts w:ascii="Times New Roman" w:hAnsi="Times New Roman"/>
          <w:b/>
          <w:sz w:val="20"/>
        </w:rPr>
        <w:t>Section</w:t>
      </w:r>
      <w:r>
        <w:rPr>
          <w:rFonts w:ascii="Times New Roman" w:hAnsi="Times New Roman"/>
          <w:sz w:val="20"/>
        </w:rPr>
        <w:t> </w:t>
      </w:r>
      <w:r>
        <w:rPr>
          <w:rFonts w:ascii="Times New Roman" w:hAnsi="Times New Roman"/>
          <w:b/>
          <w:sz w:val="20"/>
        </w:rPr>
        <w:t>11.01(B)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will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will not be liable with respect to any action it takes or omits to take in good faith in accordance with a direction received by it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will require the Trustee to expend or risk its own funds or incur any liability.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will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not be liable in its individual capacity for the obligations evidenced by the Notes. </w:t>
      </w:r>
    </w:p>
    <w:p>
      <w:pPr>
        <w:pStyle w:val="TextBody"/>
        <w:bidi w:val="0"/>
        <w:spacing w:before="240" w:after="0"/>
        <w:jc w:val="left"/>
        <w:rPr>
          <w:rFonts w:ascii="Times New Roman" w:hAnsi="Times New Roman"/>
          <w:sz w:val="20"/>
        </w:rPr>
      </w:pPr>
      <w:r>
        <w:rPr>
          <w:rFonts w:ascii="Times New Roman" w:hAnsi="Times New Roman"/>
          <w:sz w:val="20"/>
        </w:rPr>
        <w:t xml:space="preserve">(G) Each provision of this Indenture that in any way relates to the Trustee (including any provision that affects the liability of, or affords protection to, the Trustee) is subject to this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regardless of whether such provision so expressly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11.02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any document that it believes to be genuine and signed or presented by the proper Person, and the Trustee need not investigate any fact or matter stated in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will not be responsible for the misconduct or negligence of any such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not be liable for any action it takes or omits to take in good faith and that it believes to be authorized or within the rights or powers vested in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Company will be sufficient if signed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need not exercise any rights or powers vested in it by this Indenture at the request or direction of any Holder unless such Holder has offered (and, if requested, provided) the Trustee security and/or indemnity satisfactory to the Trustee against any loss, liability or expense that it may incur in complying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will not be responsible or liable for any punitive, special, indirect or consequential loss or damage (including lost profits), even if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(H) The permissive rights of the Trustee set forth in this Indenture will not be construed as duties imposed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will not be required to give any bond or surety in respect of the execution or performance of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Unless a Responsible Officer of the Trustee has received written notice from the Company that Additional Interest or Special Interest is owing or accruing, on the Notes, the Trustee may assume that no Additional Interest or Special Interest, as applicable, is payable or accruing. </w:t>
      </w:r>
    </w:p>
    <w:p>
      <w:pPr>
        <w:pStyle w:val="TextBody"/>
        <w:bidi w:val="0"/>
        <w:spacing w:before="240" w:after="0"/>
        <w:jc w:val="left"/>
        <w:rPr>
          <w:rFonts w:ascii="Times New Roman" w:hAnsi="Times New Roman"/>
          <w:sz w:val="20"/>
        </w:rPr>
      </w:pPr>
      <w:r>
        <w:rPr>
          <w:rFonts w:ascii="Times New Roman" w:hAnsi="Times New Roman"/>
          <w:sz w:val="20"/>
        </w:rPr>
        <w:t xml:space="preserve">(K) The rights, privileges, protections, immunities and benefits given to the Trustee, including its right to be compensated, reimbursed and indemnified, are extended to, and will be enforceable by, the Trustee in each of its capacities under this Indenture, including as a Note Agent. </w:t>
      </w:r>
    </w:p>
    <w:p>
      <w:pPr>
        <w:pStyle w:val="TextBody"/>
        <w:bidi w:val="0"/>
        <w:spacing w:before="240" w:after="0"/>
        <w:jc w:val="left"/>
        <w:rPr>
          <w:rFonts w:ascii="Times New Roman" w:hAnsi="Times New Roman"/>
          <w:sz w:val="20"/>
        </w:rPr>
      </w:pPr>
      <w:r>
        <w:rPr>
          <w:rFonts w:ascii="Times New Roman" w:hAnsi="Times New Roman"/>
          <w:sz w:val="20"/>
        </w:rPr>
        <w:t xml:space="preserve">(L) The Trustee will not be charged with knowledge of any document or agreement other than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(M)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(N) The Trustee will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determines to make such further inquiry or investigation, it will be entitled, at a reasonable time on any Business Day after reasonable notice, to examine the books, records and premises of the Company relevant to the facts or matters that are the subject of its inquiry, personally or by agent or attorney.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Delivery of reports and documents to the Trustee under this Indenture are for informational purposes only, and the Trustee’s receipt of such reports and documents will not constitute constructive notice of any information contained therein or determinable from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(P) The Trustee may request that the Company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11.03 INDIVIDUAL RIGHTS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11.04 TRUSTEE’S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 The Trustee shall have no duty to monitor or investigate the Company’s compliance with or the breach of, or cause to be performed or observed, any representation, warranty, covenant or agreement of any Person, other than the Trustee, made in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11.05 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and is continuing and is actually known to a Responsible Officer of the Trustee, then the Trustee will send Holders a notice of such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interest on, or the Maturity Premium, if any, in respect of, any Note, the Trustee may (but shall not be obligated to) withhold such notice if and for so long as it in good faith determines that withholding such notice is in the interests of the Holders. For the avoidance of doubt, the Trustee will not be required to deliver such notice at any time after such Default is cured or waived.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as applicable,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11.06 COMPENSATION AND INDEMNITY.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from time to time, pay the Trustee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(in each of its capacities under this Indenture, including as a Note Agent) promptly upon request for all reasonable disbursements, advances and expenses incurred or made by it under this Indenture, including the reasonable compensation, disbursements and expenses of its agents and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will indemnify the Trustee (in each of its capacities under this Indenture, including as a Note Agent)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non-appealable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11.06(B)</w:t>
      </w:r>
      <w:r>
        <w:rPr>
          <w:rFonts w:ascii="Times New Roman" w:hAnsi="Times New Roman"/>
          <w:sz w:val="20"/>
        </w:rPr>
        <w:t xml:space="preserve">, except to the extent the Company is materially prejudiced by such failure. The Company may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 conditioned or delayed. Any settlement that affects the Trustee may not be entered into without the consent of the Trustee, unless the Trustee is given a full and unconditional release from liability with respect to the claims covered thereby and such settlement does not include a statement or admission of fault, culpability or failure to act by or on behalf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Company under this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will survive the resignation or removal of the Trustee and the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Company’s payment obligations in this </w:t>
      </w:r>
      <w:r>
        <w:rPr>
          <w:rFonts w:ascii="Times New Roman" w:hAnsi="Times New Roman"/>
          <w:b/>
          <w:sz w:val="20"/>
        </w:rPr>
        <w:t>Section</w:t>
      </w:r>
      <w:r>
        <w:rPr>
          <w:rFonts w:ascii="Times New Roman" w:hAnsi="Times New Roman"/>
          <w:sz w:val="20"/>
        </w:rPr>
        <w:t> </w:t>
      </w:r>
      <w:r>
        <w:rPr>
          <w:rFonts w:ascii="Times New Roman" w:hAnsi="Times New Roman"/>
          <w:b/>
          <w:sz w:val="20"/>
        </w:rPr>
        <w:t>11.06</w:t>
      </w:r>
      <w:r>
        <w:rPr>
          <w:rFonts w:ascii="Times New Roman" w:hAnsi="Times New Roman"/>
          <w:sz w:val="20"/>
        </w:rPr>
        <w:t xml:space="preserve">, the Trustee will have a lien prior to the Notes on all money or property held or collected by the Trustee, except that held in trust to pay principal of, or interest on, particular Notes, which lien will survive the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incurs expenses or renders services after an Event of Default pursuant to </w:t>
      </w:r>
      <w:r>
        <w:rPr>
          <w:rFonts w:ascii="Times New Roman" w:hAnsi="Times New Roman"/>
          <w:b/>
          <w:sz w:val="20"/>
        </w:rPr>
        <w:t>clause (x)</w:t>
      </w:r>
      <w:r>
        <w:rPr>
          <w:rFonts w:ascii="Times New Roman" w:hAnsi="Times New Roman"/>
          <w:sz w:val="20"/>
        </w:rPr>
        <w:t xml:space="preserve"> or </w:t>
      </w:r>
      <w:r>
        <w:rPr>
          <w:rFonts w:ascii="Times New Roman" w:hAnsi="Times New Roman"/>
          <w:b/>
          <w:sz w:val="20"/>
        </w:rPr>
        <w:t>(xi)</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7.01(A)</w:t>
      </w:r>
      <w:r>
        <w:rPr>
          <w:rFonts w:ascii="Times New Roman" w:hAnsi="Times New Roman"/>
          <w:sz w:val="20"/>
        </w:rPr>
        <w:t xml:space="preserve"> occurs, then such expenses and the compensation for such services (including the fees and expenses of its agents and counsel) are intended to constitute expenses of administration under any Bankruptcy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11.07 REPLACEMENT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a resignation or removal of the Trustee, and the appointment of a successor Trustee, will become effective only upon such successor Trustee’s acceptance of appointment as provided in this </w:t>
      </w: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 </w:t>
      </w:r>
    </w:p>
    <w:p>
      <w:pPr>
        <w:pStyle w:val="TextBody"/>
        <w:bidi w:val="0"/>
        <w:spacing w:before="120" w:after="0"/>
        <w:jc w:val="left"/>
        <w:rPr>
          <w:rFonts w:ascii="Times New Roman" w:hAnsi="Times New Roman"/>
          <w:sz w:val="20"/>
        </w:rPr>
      </w:pPr>
      <w:r>
        <w:rPr>
          <w:rFonts w:ascii="Times New Roman" w:hAnsi="Times New Roman"/>
          <w:sz w:val="20"/>
        </w:rPr>
        <w:t xml:space="preserve">(i) the Trustee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is adjudged to be bankrupt or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(iii)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(iv)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after written request by a Holder of at least six (6) months, fails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11.09</w:t>
      </w:r>
      <w:r>
        <w:rPr>
          <w:rFonts w:ascii="Times New Roman" w:hAnsi="Times New Roman"/>
          <w:sz w:val="20"/>
        </w:rPr>
        <w:t xml:space="preserve">, then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deliver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11.06(D)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11.08 SUCCESSOR TRUSTEE BY MERGER, ETC. </w:t>
      </w:r>
    </w:p>
    <w:p>
      <w:pPr>
        <w:pStyle w:val="TextBody"/>
        <w:bidi w:val="0"/>
        <w:spacing w:before="120" w:after="0"/>
        <w:jc w:val="left"/>
        <w:rPr>
          <w:rFonts w:ascii="Times New Roman" w:hAnsi="Times New Roman"/>
          <w:sz w:val="20"/>
        </w:rPr>
      </w:pPr>
      <w:r>
        <w:rPr>
          <w:rFonts w:ascii="Times New Roman" w:hAnsi="Times New Roman"/>
          <w:sz w:val="20"/>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hAnsi="Times New Roman"/>
          <w:i/>
          <w:sz w:val="20"/>
        </w:rPr>
        <w:t>provided</w:t>
      </w:r>
      <w:r>
        <w:rPr>
          <w:rFonts w:ascii="Times New Roman" w:hAnsi="Times New Roman"/>
          <w:sz w:val="20"/>
        </w:rPr>
        <w:t xml:space="preserve"> that such entity is otherwise qualified and eligible to act as such under this </w:t>
      </w:r>
      <w:r>
        <w:rPr>
          <w:rFonts w:ascii="Times New Roman" w:hAnsi="Times New Roman"/>
          <w:b/>
          <w:sz w:val="20"/>
        </w:rPr>
        <w:t>Article 11</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11.09 ELIGIBILITY; DISQUALIFICATION. </w:t>
      </w:r>
    </w:p>
    <w:p>
      <w:pPr>
        <w:pStyle w:val="TextBody"/>
        <w:bidi w:val="0"/>
        <w:spacing w:before="120" w:after="0"/>
        <w:jc w:val="left"/>
        <w:rPr>
          <w:rFonts w:ascii="Times New Roman" w:hAnsi="Times New Roman"/>
          <w:sz w:val="20"/>
        </w:rPr>
      </w:pPr>
      <w:r>
        <w:rPr>
          <w:rFonts w:ascii="Times New Roman" w:hAnsi="Times New Roman"/>
          <w:sz w:val="20"/>
        </w:rPr>
        <w:t xml:space="preserve">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12.01 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by the Company or the Parent Guarantor or the Trustee (including in its capacity as a Note Agent)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or the Parent Guarantor: </w:t>
      </w:r>
    </w:p>
    <w:p>
      <w:pPr>
        <w:pStyle w:val="TextBody"/>
        <w:bidi w:val="0"/>
        <w:spacing w:before="120" w:after="0"/>
        <w:jc w:val="left"/>
        <w:rPr>
          <w:rFonts w:ascii="Times New Roman" w:hAnsi="Times New Roman"/>
          <w:sz w:val="20"/>
        </w:rPr>
      </w:pPr>
      <w:r>
        <w:rPr>
          <w:rFonts w:ascii="Times New Roman" w:hAnsi="Times New Roman"/>
          <w:sz w:val="20"/>
        </w:rPr>
        <w:t xml:space="preserve">Piedmont Operating Partnership, LP </w:t>
      </w:r>
    </w:p>
    <w:p>
      <w:pPr>
        <w:pStyle w:val="TextBody"/>
        <w:bidi w:val="0"/>
        <w:spacing w:before="0" w:after="0"/>
        <w:jc w:val="left"/>
        <w:rPr>
          <w:rFonts w:ascii="Times New Roman" w:hAnsi="Times New Roman"/>
          <w:sz w:val="20"/>
        </w:rPr>
      </w:pPr>
      <w:r>
        <w:rPr>
          <w:rFonts w:ascii="Times New Roman" w:hAnsi="Times New Roman"/>
          <w:sz w:val="20"/>
        </w:rPr>
        <w:t xml:space="preserve">5565 Glenridge Connector Suite 450 </w:t>
      </w:r>
    </w:p>
    <w:p>
      <w:pPr>
        <w:pStyle w:val="TextBody"/>
        <w:bidi w:val="0"/>
        <w:spacing w:before="0" w:after="0"/>
        <w:jc w:val="left"/>
        <w:rPr>
          <w:rFonts w:ascii="Times New Roman" w:hAnsi="Times New Roman"/>
          <w:sz w:val="20"/>
        </w:rPr>
      </w:pPr>
      <w:r>
        <w:rPr>
          <w:rFonts w:ascii="Times New Roman" w:hAnsi="Times New Roman"/>
          <w:sz w:val="20"/>
        </w:rPr>
        <w:t xml:space="preserve">Atlanta, GA 30342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King &amp; Spalding LLP </w:t>
      </w:r>
    </w:p>
    <w:p>
      <w:pPr>
        <w:pStyle w:val="TextBody"/>
        <w:bidi w:val="0"/>
        <w:spacing w:before="0" w:after="0"/>
        <w:jc w:val="left"/>
        <w:rPr>
          <w:rFonts w:ascii="Times New Roman" w:hAnsi="Times New Roman"/>
          <w:sz w:val="20"/>
        </w:rPr>
      </w:pPr>
      <w:r>
        <w:rPr>
          <w:rFonts w:ascii="Times New Roman" w:hAnsi="Times New Roman"/>
          <w:sz w:val="20"/>
        </w:rPr>
        <w:t xml:space="preserve">1180 Peachtree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Atlanta, GA 30309 </w:t>
      </w:r>
    </w:p>
    <w:p>
      <w:pPr>
        <w:pStyle w:val="TextBody"/>
        <w:bidi w:val="0"/>
        <w:spacing w:before="0" w:after="0"/>
        <w:jc w:val="left"/>
        <w:rPr>
          <w:rFonts w:ascii="Times New Roman" w:hAnsi="Times New Roman"/>
          <w:sz w:val="20"/>
        </w:rPr>
      </w:pPr>
      <w:r>
        <w:rPr>
          <w:rFonts w:ascii="Times New Roman" w:hAnsi="Times New Roman"/>
          <w:sz w:val="20"/>
        </w:rPr>
        <w:t xml:space="preserve">Attention: Keith Townsend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Presentment of Payment or Repurchase or Surrender for Registration,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111 Fillmore Ave. </w:t>
      </w:r>
    </w:p>
    <w:p>
      <w:pPr>
        <w:pStyle w:val="TextBody"/>
        <w:bidi w:val="0"/>
        <w:spacing w:before="0" w:after="0"/>
        <w:jc w:val="left"/>
        <w:rPr>
          <w:rFonts w:ascii="Times New Roman" w:hAnsi="Times New Roman"/>
          <w:sz w:val="20"/>
        </w:rPr>
      </w:pPr>
      <w:r>
        <w:rPr>
          <w:rFonts w:ascii="Times New Roman" w:hAnsi="Times New Roman"/>
          <w:sz w:val="20"/>
        </w:rPr>
        <w:t xml:space="preserve">St. Paul, MN 55107 </w:t>
      </w:r>
    </w:p>
    <w:p>
      <w:pPr>
        <w:pStyle w:val="TextBody"/>
        <w:bidi w:val="0"/>
        <w:spacing w:before="0" w:after="0"/>
        <w:jc w:val="left"/>
        <w:rPr>
          <w:rFonts w:ascii="Times New Roman" w:hAnsi="Times New Roman"/>
          <w:sz w:val="20"/>
        </w:rPr>
      </w:pPr>
      <w:r>
        <w:rPr>
          <w:rFonts w:ascii="Times New Roman" w:hAnsi="Times New Roman"/>
          <w:sz w:val="20"/>
        </w:rPr>
        <w:t xml:space="preserve">Attention: Global Corporate Trust - Piedmont Operating Partnership, L.P. </w:t>
      </w:r>
    </w:p>
    <w:p>
      <w:pPr>
        <w:pStyle w:val="TextBody"/>
        <w:bidi w:val="0"/>
        <w:spacing w:before="0" w:after="0"/>
        <w:jc w:val="left"/>
        <w:rPr>
          <w:rFonts w:ascii="Times New Roman" w:hAnsi="Times New Roman"/>
          <w:sz w:val="20"/>
        </w:rPr>
      </w:pPr>
      <w:r>
        <w:rPr>
          <w:rFonts w:ascii="Times New Roman" w:hAnsi="Times New Roman"/>
          <w:sz w:val="20"/>
        </w:rPr>
        <w:t xml:space="preserve">Telephone No: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For all other purposes: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 Federal St, </w:t>
      </w:r>
    </w:p>
    <w:p>
      <w:pPr>
        <w:pStyle w:val="TextBody"/>
        <w:bidi w:val="0"/>
        <w:spacing w:before="0" w:after="0"/>
        <w:jc w:val="left"/>
        <w:rPr>
          <w:rFonts w:ascii="Times New Roman" w:hAnsi="Times New Roman"/>
          <w:sz w:val="20"/>
        </w:rPr>
      </w:pPr>
      <w:r>
        <w:rPr>
          <w:rFonts w:ascii="Times New Roman" w:hAnsi="Times New Roman"/>
          <w:sz w:val="20"/>
        </w:rPr>
        <w:t xml:space="preserve">Boston, MA 02110 </w:t>
      </w:r>
    </w:p>
    <w:p>
      <w:pPr>
        <w:pStyle w:val="TextBody"/>
        <w:bidi w:val="0"/>
        <w:spacing w:before="0" w:after="0"/>
        <w:jc w:val="left"/>
        <w:rPr>
          <w:rFonts w:ascii="Times New Roman" w:hAnsi="Times New Roman"/>
          <w:sz w:val="20"/>
        </w:rPr>
      </w:pPr>
      <w:r>
        <w:rPr>
          <w:rFonts w:ascii="Times New Roman" w:hAnsi="Times New Roman"/>
          <w:sz w:val="20"/>
        </w:rPr>
        <w:t xml:space="preserve">Attention: Global Corporate Trust - Piedmont Operating Partnership, L.P. </w:t>
      </w:r>
    </w:p>
    <w:p>
      <w:pPr>
        <w:pStyle w:val="TextBody"/>
        <w:bidi w:val="0"/>
        <w:spacing w:before="0" w:after="0"/>
        <w:jc w:val="left"/>
        <w:rPr>
          <w:rFonts w:ascii="Times New Roman" w:hAnsi="Times New Roman"/>
          <w:sz w:val="20"/>
        </w:rPr>
      </w:pPr>
      <w:r>
        <w:rPr>
          <w:rFonts w:ascii="Times New Roman" w:hAnsi="Times New Roman"/>
          <w:sz w:val="20"/>
        </w:rPr>
        <w:t xml:space="preserve">Telephone No: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preceding paragraph, notices to the Trustee or any Note Agent must be in writing and will be deemed to have been given upon actual receipt by the Trustee or such Note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Parent Guarantor or the Trustee, by notice to the others, may designate additional or different addresses (including facsimile numbers and electronic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 notice or communication to a Holder of a Global Note may, but need not, instead be sent pursuant to the Depositary Procedures (in which case, such notice will be deemed to be duly sent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in writing); and (B) a notice or communication to a Holder of a Global Note that is entitled to the benefits of a Registration Rights Agreement may, but need not, be sent in any manner permitted by such Registration Rights Agreement to the owner of the related beneficial interest in such Global Note if such owner is a Notice Holder under such Registration Rights Agreement. The failure to send a notice or communication to a Holder, or any defect in such notice or communication, will not affect its sufficiency with respect to any other Holder.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hAnsi="Times New Roman"/>
          <w:i/>
          <w:sz w:val="20"/>
        </w:rPr>
        <w:t>provided</w:t>
      </w:r>
      <w:r>
        <w:rPr>
          <w:rFonts w:ascii="Times New Roman" w:hAnsi="Times New Roman"/>
          <w:sz w:val="20"/>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or sent in the manner provided above within the time prescribed, it will be deemed to have been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Indenture or the Notes, (A) whenever any provision of this Indenture requires a party to deliver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deliver notice to more than one receiving party, and each receiving party is the same Person acting in different capacities, then only one such notice need be sent to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12.02 DELIVERY OF OFFICER’S CERTIFICATE AND OPINION OF COUNSEL AS TO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(other than the initial authentication of Notes under this Indenture), the Company will furnish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(A) an Officer’s Certificate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and states that, in the opinion of the signatory thereto, all conditions precedent and covenants, if any, provided for in this Indenture relating to such action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that complies with </w:t>
      </w: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and states that, in the opinion of such counsel, all such conditions precedent and covenants, if any,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12.03 STATEMENTS REQUIRED IN OFFICER’S CERTIFICATE AND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Each Officer’s Certificate (other than an Officer’s Certificate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or Opinion of Counsel with respect to compliance with a covenant or condition provided for in this Indenture will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signatory thereto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therein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such signatory, he, she or it has made such examination or investigation as is necessary to enable him, her or it to express an informed opinion as to whether or not such covenant or condition has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such signatory, such covenant or condition has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12.04 RULES BY THE TRUSTEE, THE REGISTRAR, THE PAYING AGENT AND THE EXCHANGE AGENT.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at a meeting of Holders. Each of the Registrar, the Paying Agent and the Exchange Agent may make reasonable rules and set reasonable requirements for its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12.05 NO PERSONAL LIABILITY OF DIRECTORS, OFFICERS, EMPLOYEES, PARTNERS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partner or stockholder of the Company or the Parent Guarantor, as such, will have any liability for any obligations of the Company or the Parent Guarantor under this Indenture, the Notes or the Guarantee or for any claim based on, in respect of, or by reason of, such obligations or their creation. By accepting any Note, each Holder waives and releases all such liability. Such waiver and release are part of the consideration for the issuance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12.06 GOVERNING LAW;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THE GUARANTEE AND THE NOTES, AND ANY CLAIM, CONTROVERSY OR DISPUTE ARISING UNDER OR RELATED TO THIS INDENTURE, THE GUARANTEE OR THE NOTES, WILL BE GOVERNED BY AND CONSTRUED IN ACCORDANCE WITH THE LAWS OF THE STATE OF NEW YORK. EACH OF THE COMPANY, THE PARENT GUARANTOR AND THE TRUSTEE IRREVOCABLY WAIVES, TO THE FULLEST EXTENT PERMITTED BY APPLICABLE LAW, ANY AND ALL RIGHT TO TRIAL BY JURY IN ANY LEGAL PROCEEDING ARISING OUT OF OR RELATING TO THIS INDENTURE, THE NOTES, THE GUARANTEE OR THE TRANSACTIONS CONTEMPLATED BY THIS INDENTURE, THE NOTES OR THE GUARANTEE.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12.07 SUBMISSION TO JURISDICTION. </w:t>
      </w:r>
    </w:p>
    <w:p>
      <w:pPr>
        <w:pStyle w:val="TextBody"/>
        <w:bidi w:val="0"/>
        <w:spacing w:before="12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will be effective service of process for any such suit, action or proceeding brought in any such court. Each of the Company, the Parent Guarantor,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12.08 No ADVERSE INTERPRETATION OF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Neither this Indenture nor the Notes may be used to interpret any other indenture, note, loan or debt agreement of the Company or its Subsidiaries or of any other Person, and no such indenture, note, loan or debt agreement may be used to interpret this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12.09 SUCCESSORS.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each of the Company and the Parent Guarantor in this Indenture and the Notes will bind its successors. All agreements of the Trustee in this Indenture will bind its successors.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FORCE MAJEURE.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12.11 U.S.A. PATRIOT ACT.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12.12 CALCULATIONS.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Indenture, the Company will be responsible for making all calculations called for under this Indenture or the Notes, including determinations of the Last Reported Sale Price, the Daily Exchange Value, the Daily Cash Amount, the Daily Share Amount, the Daily VWAP, the Trading Price, accrued interest (including Additional Interest or Special Interest) on the Notes, the Redemption Price, the Fundamental Change Repurchase Price and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make all calculations in good faith, and, absent manifest error, its calculations will be final and binding on all Holders. The Company will provide a schedule of its calculations to the Trustee and the Exchange Agent, and each of the Trustee and the Exchange Agent may rely conclusively on the accuracy of the Company’s calculations without independent verification. The Trustee will promptly forward a copy of each such schedule to a Holder upon its written request therefor. For the avoidance of doubt, the Trustee will not be responsible or obligated to make or confirm any calculations or other amounts called for under this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SEVERABILITY.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or the Notes is invalid, illegal or unenforceable, then the validity, legality and enforceability of the remaining provisions of this Indenture or the Notes will not in any way be affected or impaired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12.15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the headings of the Articles and Sections of this Indenture have been inserted for convenience of reference only, are not to be considered a part of this Indenture and will in no way modify or restrict any of the terms or provisions of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12.16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Note agrees, and each beneficial owner of an interest in a Global Note, by its acquisition of such interest, is deemed to agree, that if the Company, the Parent Guarantor or other applicable withholding agent (including the Trustee or a Note Agent) pays withholding taxes or backup withholding on behalf of such Holder or beneficial owner as a result of an adjustment or the non-occurrence of an adjustment to the Exchange Rate, then the Company, the Parent Guarantor or such withholding agent, as applicable, may, at its option, withhold such amounts from or set off such amounts against payments of cash or the delivery of other Exchange Consideration on such Note, any payments on the Common Stock or sales proceeds received by, or other funds or assets of, such Holder or the beneficial owner of such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to this Indenture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w:t>
            </w:r>
            <w:r>
              <w:rPr>
                <w:sz w:val="20"/>
              </w:rPr>
              <w:t>IEDMONT</w:t>
            </w:r>
            <w:r>
              <w:rPr/>
              <w:t xml:space="preserve"> O</w:t>
            </w:r>
            <w:r>
              <w:rPr>
                <w:sz w:val="20"/>
              </w:rPr>
              <w:t>PERATING</w:t>
            </w:r>
            <w:r>
              <w:rPr/>
              <w:t xml:space="preserve"> P</w:t>
            </w:r>
            <w:r>
              <w:rPr>
                <w:sz w:val="20"/>
              </w:rPr>
              <w:t>ARTNERSHIP</w:t>
            </w:r>
            <w:r>
              <w:rPr/>
              <w:t>,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Piedmont Realty Trust, Inc., its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Sherry L. Rexroad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Sherry L. Rexroad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Executive Vice President, Chief Financial Officer and Corproate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w:t>
            </w:r>
            <w:r>
              <w:rPr>
                <w:sz w:val="20"/>
              </w:rPr>
              <w:t>IEDMONT</w:t>
            </w:r>
            <w:r>
              <w:rPr/>
              <w:t xml:space="preserve"> R</w:t>
            </w:r>
            <w:r>
              <w:rPr>
                <w:sz w:val="20"/>
              </w:rPr>
              <w:t>EALTY</w:t>
            </w:r>
            <w:r>
              <w:rPr/>
              <w:t xml:space="preserve"> T</w:t>
            </w:r>
            <w:r>
              <w:rPr>
                <w:sz w:val="20"/>
              </w:rPr>
              <w:t>RUST</w:t>
            </w:r>
            <w:r>
              <w:rPr/>
              <w:t xml:space="preserve">, </w:t>
            </w:r>
            <w:r>
              <w:rPr>
                <w:sz w:val="20"/>
              </w:rPr>
              <w:t>INC</w:t>
            </w:r>
            <w:r>
              <w:rPr/>
              <w: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Sherry L. Rexroad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Sherry L. Rexroad</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Executive Vice President, Chief Financial Officer and Corproate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James H. Byrnes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James H. Byrnes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NOTE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Global Note Legend, if applicable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Restricted Note Legend, if applicable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w:t>
      </w:r>
      <w:r>
        <w:rPr>
          <w:rFonts w:ascii="Times New Roman" w:hAnsi="Times New Roman"/>
          <w:i/>
          <w:sz w:val="20"/>
        </w:rPr>
        <w:t>Insert Non-Affiliate Legend</w:t>
      </w:r>
      <w:r>
        <w:rPr>
          <w:rFonts w:ascii="Times New Roman" w:hAnsi="Times New Roman"/>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PIEDMONT OPERATING PARTNERSHIP, LP </w:t>
      </w:r>
    </w:p>
    <w:p>
      <w:pPr>
        <w:pStyle w:val="TextBody"/>
        <w:bidi w:val="0"/>
        <w:spacing w:before="120" w:after="0"/>
        <w:jc w:val="center"/>
        <w:rPr>
          <w:rFonts w:ascii="Times New Roman" w:hAnsi="Times New Roman"/>
          <w:b/>
          <w:sz w:val="20"/>
        </w:rPr>
      </w:pPr>
      <w:r>
        <w:rPr>
          <w:rFonts w:ascii="Times New Roman" w:hAnsi="Times New Roman"/>
          <w:b/>
          <w:sz w:val="20"/>
        </w:rPr>
        <w:t xml:space="preserve">2.875% Exchangeable Senior Note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2"/>
        <w:gridCol w:w="120"/>
        <w:gridCol w:w="2376"/>
        <w:gridCol w:w="120"/>
        <w:gridCol w:w="2376"/>
        <w:gridCol w:w="120"/>
        <w:gridCol w:w="2441"/>
      </w:tblGrid>
      <w:tr>
        <w:trPr/>
        <w:tc>
          <w:tcPr>
            <w:tcW w:w="26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26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CUSIP No.:</w:t>
            </w:r>
          </w:p>
        </w:tc>
        <w:tc>
          <w:tcPr>
            <w:tcW w:w="12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[___]</w:t>
            </w:r>
          </w:p>
        </w:tc>
        <w:tc>
          <w:tcPr>
            <w:tcW w:w="12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41" w:type="dxa"/>
            <w:tcBorders/>
            <w:vAlign w:val="bottom"/>
          </w:tcPr>
          <w:p>
            <w:pPr>
              <w:pStyle w:val="TableContents"/>
              <w:bidi w:val="0"/>
              <w:spacing w:before="0" w:after="283"/>
              <w:jc w:val="right"/>
              <w:rPr/>
            </w:pPr>
            <w:r>
              <w:rPr/>
              <w:t>Certificate No. [___]</w:t>
            </w:r>
          </w:p>
        </w:tc>
      </w:tr>
      <w:tr>
        <w:trPr/>
        <w:tc>
          <w:tcPr>
            <w:tcW w:w="26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ISIN No.:</w:t>
            </w:r>
          </w:p>
        </w:tc>
        <w:tc>
          <w:tcPr>
            <w:tcW w:w="12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[___]</w:t>
            </w:r>
          </w:p>
        </w:tc>
        <w:tc>
          <w:tcPr>
            <w:tcW w:w="120" w:type="dxa"/>
            <w:tcBorders/>
            <w:vAlign w:val="bottom"/>
          </w:tcPr>
          <w:p>
            <w:pPr>
              <w:pStyle w:val="TableContents"/>
              <w:bidi w:val="0"/>
              <w:spacing w:before="0" w:after="283"/>
              <w:jc w:val="left"/>
              <w:rPr/>
            </w:pPr>
            <w:r>
              <w:rPr/>
              <w:t>  </w:t>
            </w:r>
          </w:p>
        </w:tc>
        <w:tc>
          <w:tcPr>
            <w:tcW w:w="244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Piedmont Operating Partnership, LP, a Delaware limited partnership, for value received, promises to pay to [Cede &amp; Co.], or its registered assigns, the principal sum of [___] dollars ($[___]) [(as revised by the attached Schedule of Exchanges of Interests in the Global Note)]* on February 1, 2031 and to pay interest thereon, as provided in the Indenture referred to below, until the principal and all accrued and unpaid interest are paid or duly provided 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0"/>
        <w:gridCol w:w="124"/>
        <w:gridCol w:w="7161"/>
      </w:tblGrid>
      <w:tr>
        <w:trPr/>
        <w:tc>
          <w:tcPr>
            <w:tcW w:w="292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161" w:type="dxa"/>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pPr>
            <w:r>
              <w:rPr/>
              <w:t>Interest Payment Dates:</w:t>
            </w:r>
          </w:p>
        </w:tc>
        <w:tc>
          <w:tcPr>
            <w:tcW w:w="124"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February 1 and August 1 of each year, commencing on [</w:t>
            </w:r>
            <w:r>
              <w:rPr>
                <w:i/>
              </w:rPr>
              <w:t>date</w:t>
            </w:r>
            <w:r>
              <w:rPr/>
              <w:t>].</w:t>
            </w:r>
          </w:p>
        </w:tc>
      </w:tr>
      <w:tr>
        <w:trPr>
          <w:trHeight w:val="120" w:hRule="atLeast"/>
        </w:trPr>
        <w:tc>
          <w:tcPr>
            <w:tcW w:w="2920" w:type="dxa"/>
            <w:tcBorders/>
            <w:vAlign w:val="center"/>
          </w:tcPr>
          <w:p>
            <w:pPr>
              <w:pStyle w:val="TableContents"/>
              <w:bidi w:val="0"/>
              <w:spacing w:before="0" w:after="283"/>
              <w:jc w:val="left"/>
              <w:rPr>
                <w:sz w:val="4"/>
                <w:szCs w:val="4"/>
              </w:rPr>
            </w:pPr>
            <w:r>
              <w:rPr>
                <w:sz w:val="4"/>
                <w:szCs w:val="4"/>
              </w:rPr>
            </w:r>
          </w:p>
        </w:tc>
        <w:tc>
          <w:tcPr>
            <w:tcW w:w="7285"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tcPr>
          <w:p>
            <w:pPr>
              <w:pStyle w:val="TableContents"/>
              <w:bidi w:val="0"/>
              <w:spacing w:before="0" w:after="283"/>
              <w:jc w:val="left"/>
              <w:rPr/>
            </w:pPr>
            <w:r>
              <w:rPr/>
              <w:t>Regular Record Dates:</w:t>
            </w:r>
          </w:p>
        </w:tc>
        <w:tc>
          <w:tcPr>
            <w:tcW w:w="124"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January 15 and July 15.</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provisions of this Note are set forth on the other side of this Note.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 Follows</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bracketed language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Piedmont Operating Partnership, LP has caused this instrument to be duly executed as of the date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22"/>
        <w:gridCol w:w="114"/>
        <w:gridCol w:w="332"/>
        <w:gridCol w:w="114"/>
        <w:gridCol w:w="559"/>
        <w:gridCol w:w="142"/>
        <w:gridCol w:w="4222"/>
      </w:tblGrid>
      <w:tr>
        <w:trPr/>
        <w:tc>
          <w:tcPr>
            <w:tcW w:w="472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4222" w:type="dxa"/>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4923" w:type="dxa"/>
            <w:gridSpan w:val="3"/>
            <w:tcBorders/>
          </w:tcPr>
          <w:p>
            <w:pPr>
              <w:pStyle w:val="TableContents"/>
              <w:bidi w:val="0"/>
              <w:spacing w:before="0" w:after="283"/>
              <w:jc w:val="left"/>
              <w:rPr/>
            </w:pPr>
            <w:r>
              <w:rPr/>
              <w:t>PIEDMONT OPERATING PARTNERSHIP, LP</w:t>
            </w:r>
          </w:p>
        </w:tc>
      </w:tr>
      <w:tr>
        <w:trPr>
          <w:trHeight w:val="240" w:hRule="atLeast"/>
        </w:trPr>
        <w:tc>
          <w:tcPr>
            <w:tcW w:w="4722" w:type="dxa"/>
            <w:tcBorders/>
            <w:vAlign w:val="center"/>
          </w:tcPr>
          <w:p>
            <w:pPr>
              <w:pStyle w:val="TableContents"/>
              <w:bidi w:val="0"/>
              <w:spacing w:before="0" w:after="283"/>
              <w:jc w:val="left"/>
              <w:rPr>
                <w:sz w:val="4"/>
                <w:szCs w:val="4"/>
              </w:rPr>
            </w:pPr>
            <w:r>
              <w:rPr>
                <w:sz w:val="4"/>
                <w:szCs w:val="4"/>
              </w:rPr>
            </w:r>
          </w:p>
        </w:tc>
        <w:tc>
          <w:tcPr>
            <w:tcW w:w="446" w:type="dxa"/>
            <w:gridSpan w:val="2"/>
            <w:tcBorders/>
            <w:vAlign w:val="center"/>
          </w:tcPr>
          <w:p>
            <w:pPr>
              <w:pStyle w:val="TableContents"/>
              <w:bidi w:val="0"/>
              <w:spacing w:before="0" w:after="283"/>
              <w:jc w:val="left"/>
              <w:rPr>
                <w:sz w:val="4"/>
                <w:szCs w:val="4"/>
              </w:rPr>
            </w:pPr>
            <w:r>
              <w:rPr>
                <w:sz w:val="4"/>
                <w:szCs w:val="4"/>
              </w:rPr>
            </w:r>
          </w:p>
        </w:tc>
        <w:tc>
          <w:tcPr>
            <w:tcW w:w="673" w:type="dxa"/>
            <w:gridSpan w:val="2"/>
            <w:tcBorders/>
            <w:vAlign w:val="center"/>
          </w:tcPr>
          <w:p>
            <w:pPr>
              <w:pStyle w:val="TableContents"/>
              <w:bidi w:val="0"/>
              <w:spacing w:before="0" w:after="283"/>
              <w:jc w:val="left"/>
              <w:rPr>
                <w:sz w:val="4"/>
                <w:szCs w:val="4"/>
              </w:rPr>
            </w:pPr>
            <w:r>
              <w:rPr>
                <w:sz w:val="4"/>
                <w:szCs w:val="4"/>
              </w:rPr>
            </w:r>
          </w:p>
        </w:tc>
        <w:tc>
          <w:tcPr>
            <w:tcW w:w="4364" w:type="dxa"/>
            <w:gridSpan w:val="2"/>
            <w:tcBorders/>
            <w:vAlign w:val="center"/>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283"/>
              <w:jc w:val="left"/>
              <w:rPr/>
            </w:pPr>
            <w:r>
              <w:rPr/>
              <w:t xml:space="preserve">Date: </w:t>
            </w:r>
            <w:r>
              <w:rPr>
                <w:u w:val="single"/>
              </w:rPr>
              <w:t>        </w:t>
            </w:r>
          </w:p>
        </w:tc>
        <w:tc>
          <w:tcPr>
            <w:tcW w:w="114" w:type="dxa"/>
            <w:tcBorders/>
            <w:vAlign w:val="bottom"/>
          </w:tcPr>
          <w:p>
            <w:pPr>
              <w:pStyle w:val="TableContents"/>
              <w:bidi w:val="0"/>
              <w:spacing w:before="0" w:after="283"/>
              <w:jc w:val="left"/>
              <w:rPr/>
            </w:pPr>
            <w:r>
              <w:rPr/>
              <w:t> </w:t>
            </w:r>
          </w:p>
        </w:tc>
        <w:tc>
          <w:tcPr>
            <w:tcW w:w="33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59"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4222" w:type="dxa"/>
            <w:tcBorders>
              <w:bottom w:val="single" w:sz="2" w:space="0" w:color="000000"/>
            </w:tcBorders>
            <w:tcMar>
              <w:bottom w:w="28" w:type="dxa"/>
            </w:tcMar>
          </w:tcPr>
          <w:p>
            <w:pPr>
              <w:pStyle w:val="TableContents"/>
              <w:bidi w:val="0"/>
              <w:spacing w:before="0" w:after="283"/>
              <w:jc w:val="left"/>
              <w:rPr/>
            </w:pPr>
            <w:r>
              <w:rPr/>
              <w:t> </w:t>
            </w:r>
          </w:p>
        </w:tc>
      </w:tr>
      <w:tr>
        <w:trPr/>
        <w:tc>
          <w:tcPr>
            <w:tcW w:w="472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222" w:type="dxa"/>
            <w:tcBorders/>
            <w:vAlign w:val="bottom"/>
          </w:tcPr>
          <w:p>
            <w:pPr>
              <w:pStyle w:val="TableContents"/>
              <w:bidi w:val="0"/>
              <w:spacing w:before="0" w:after="283"/>
              <w:jc w:val="left"/>
              <w:rPr/>
            </w:pPr>
            <w:r>
              <w:rPr/>
              <w:t>Name:</w:t>
            </w:r>
          </w:p>
        </w:tc>
      </w:tr>
      <w:tr>
        <w:trPr/>
        <w:tc>
          <w:tcPr>
            <w:tcW w:w="472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5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222"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certifies that this is one of the Notes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5"/>
        <w:gridCol w:w="101"/>
        <w:gridCol w:w="407"/>
        <w:gridCol w:w="101"/>
        <w:gridCol w:w="306"/>
        <w:gridCol w:w="101"/>
        <w:gridCol w:w="4594"/>
      </w:tblGrid>
      <w:tr>
        <w:trPr/>
        <w:tc>
          <w:tcPr>
            <w:tcW w:w="459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bottom"/>
          </w:tcPr>
          <w:p>
            <w:pPr>
              <w:pStyle w:val="TableContents"/>
              <w:bidi w:val="0"/>
              <w:spacing w:before="0" w:after="283"/>
              <w:jc w:val="left"/>
              <w:rPr/>
            </w:pPr>
            <w:r>
              <w:rPr/>
              <w:t xml:space="preserve">Date: </w:t>
            </w:r>
            <w:r>
              <w:rPr>
                <w:u w:val="single"/>
              </w:rPr>
              <w:t>         </w:t>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pBdr>
                <w:bottom w:val="single" w:sz="2" w:space="1" w:color="000000"/>
              </w:pBdr>
              <w:bidi w:val="0"/>
              <w:spacing w:before="0" w:after="20"/>
              <w:jc w:val="left"/>
              <w:rPr/>
            </w:pPr>
            <w:r>
              <w:rPr/>
              <w:t> </w:t>
            </w:r>
          </w:p>
        </w:tc>
      </w:tr>
      <w:tr>
        <w:trPr/>
        <w:tc>
          <w:tcPr>
            <w:tcW w:w="459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left"/>
              <w:rPr/>
            </w:pPr>
            <w:r>
              <w:rPr/>
              <w:t xml:space="preserve">Name: </w:t>
            </w:r>
          </w:p>
        </w:tc>
      </w:tr>
      <w:tr>
        <w:trPr/>
        <w:tc>
          <w:tcPr>
            <w:tcW w:w="459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PIEDMONT OPERATING PARTNERSHIP, LP </w:t>
      </w:r>
    </w:p>
    <w:p>
      <w:pPr>
        <w:pStyle w:val="TextBody"/>
        <w:bidi w:val="0"/>
        <w:spacing w:before="120" w:after="0"/>
        <w:jc w:val="center"/>
        <w:rPr>
          <w:rFonts w:ascii="Times New Roman" w:hAnsi="Times New Roman"/>
          <w:b/>
          <w:sz w:val="20"/>
        </w:rPr>
      </w:pPr>
      <w:r>
        <w:rPr>
          <w:rFonts w:ascii="Times New Roman" w:hAnsi="Times New Roman"/>
          <w:b/>
          <w:sz w:val="20"/>
        </w:rPr>
        <w:t xml:space="preserve">2.875% Exchangeable Senior Note due 2031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Piedmont Operating Partnership, LP, a Delaware limited partnership (the “</w:t>
      </w:r>
      <w:r>
        <w:rPr>
          <w:rFonts w:ascii="Times New Roman" w:hAnsi="Times New Roman"/>
          <w:b/>
          <w:sz w:val="20"/>
        </w:rPr>
        <w:t>Company</w:t>
      </w:r>
      <w:r>
        <w:rPr>
          <w:rFonts w:ascii="Times New Roman" w:hAnsi="Times New Roman"/>
          <w:sz w:val="20"/>
        </w:rPr>
        <w:t>”), designated as its 2.875% Exchangeable Senior Notes due 2031 (the “</w:t>
      </w:r>
      <w:r>
        <w:rPr>
          <w:rFonts w:ascii="Times New Roman" w:hAnsi="Times New Roman"/>
          <w:b/>
          <w:sz w:val="20"/>
        </w:rPr>
        <w:t>Notes</w:t>
      </w:r>
      <w:r>
        <w:rPr>
          <w:rFonts w:ascii="Times New Roman" w:hAnsi="Times New Roman"/>
          <w:sz w:val="20"/>
        </w:rPr>
        <w:t>”), all issued or to be issued pursuant to an indenture, dated as of September 17, 2026 (as the same may be amended from time to time, the “</w:t>
      </w:r>
      <w:r>
        <w:rPr>
          <w:rFonts w:ascii="Times New Roman" w:hAnsi="Times New Roman"/>
          <w:b/>
          <w:sz w:val="20"/>
        </w:rPr>
        <w:t>Indenture</w:t>
      </w:r>
      <w:r>
        <w:rPr>
          <w:rFonts w:ascii="Times New Roman" w:hAnsi="Times New Roman"/>
          <w:sz w:val="20"/>
        </w:rPr>
        <w:t xml:space="preserve">”), among the Company, the Parent Guarantor and U.S. Bank Trust Company, National Association, as trustee. Capitalized terms used in this Note without definition have the respective meanings ascribed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sets forth the rights and obligations of the Company, the Parent Guarantor, the Trustee and the Holders and the terms of the Notes. Notwithstanding anything to the contrary in this Note, to the extent that any provision of this Note conflicts with the provisions of the Indenture, the provisions of the Indenture will control.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Interest</w:t>
      </w:r>
      <w:r>
        <w:rPr>
          <w:rFonts w:ascii="Times New Roman" w:hAnsi="Times New Roman"/>
          <w:sz w:val="20"/>
        </w:rPr>
        <w:t>. This Note will accrue interest at a rate and in the manner set forth in Section 2.05 of the Indenture. Stated Interest on this Note will begin to accrue from, and including, [</w:t>
      </w:r>
      <w:r>
        <w:rPr>
          <w:rFonts w:ascii="Times New Roman" w:hAnsi="Times New Roman"/>
          <w:i/>
          <w:sz w:val="20"/>
        </w:rPr>
        <w:t>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Maturity</w:t>
      </w:r>
      <w:r>
        <w:rPr>
          <w:rFonts w:ascii="Times New Roman" w:hAnsi="Times New Roman"/>
          <w:sz w:val="20"/>
        </w:rPr>
        <w:t xml:space="preserve">. This Note will mature on February 1, 2031, unless earlier repurchased, redeemed or Exchanged.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Guarantee</w:t>
      </w:r>
      <w:r>
        <w:rPr>
          <w:rFonts w:ascii="Times New Roman" w:hAnsi="Times New Roman"/>
          <w:sz w:val="20"/>
        </w:rPr>
        <w:t xml:space="preserve">. The Company’s obligations under the Indenture and the Notes are fully and unconditionally guaranteed by the Parent Guarantor as provided in Article 9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Method of Payment</w:t>
      </w:r>
      <w:r>
        <w:rPr>
          <w:rFonts w:ascii="Times New Roman" w:hAnsi="Times New Roman"/>
          <w:sz w:val="20"/>
        </w:rPr>
        <w:t xml:space="preserve">. Cash amounts due on this Note will be paid in the manner set forth in Section 2.04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Persons Deemed Owners</w:t>
      </w:r>
      <w:r>
        <w:rPr>
          <w:rFonts w:ascii="Times New Roman" w:hAnsi="Times New Roman"/>
          <w:sz w:val="20"/>
        </w:rPr>
        <w:t xml:space="preserve">. The Holder of this Note will be treated as the owner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Denominations; Transfers and Exchanges</w:t>
      </w:r>
      <w:r>
        <w:rPr>
          <w:rFonts w:ascii="Times New Roman" w:hAnsi="Times New Roman"/>
          <w:sz w:val="20"/>
        </w:rPr>
        <w:t xml:space="preserve">.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Right of Holders to Require the Company to Repurchase Notes Upon a Fundamental Change</w:t>
      </w:r>
      <w:r>
        <w:rPr>
          <w:rFonts w:ascii="Times New Roman" w:hAnsi="Times New Roman"/>
          <w:sz w:val="20"/>
        </w:rPr>
        <w:t xml:space="preserve">.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Right of the Company to Redeem the Notes</w:t>
      </w:r>
      <w:r>
        <w:rPr>
          <w:rFonts w:ascii="Times New Roman" w:hAnsi="Times New Roman"/>
          <w:sz w:val="20"/>
        </w:rPr>
        <w:t xml:space="preserve">. The Company will have the right to redeem the Notes for cash in the manner, and subject to the terms, set forth in Section 4.03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Exchange</w:t>
      </w:r>
      <w:r>
        <w:rPr>
          <w:rFonts w:ascii="Times New Roman" w:hAnsi="Times New Roman"/>
          <w:sz w:val="20"/>
        </w:rPr>
        <w:t xml:space="preserve">. The Holder of this Note may Exchange this Note into Exchange Consideration in the manner, and subject to the terms, set forth in Article 5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When the Company May Merge, Etc</w:t>
      </w:r>
      <w:r>
        <w:rPr>
          <w:rFonts w:ascii="Times New Roman" w:hAnsi="Times New Roman"/>
          <w:sz w:val="20"/>
        </w:rPr>
        <w:t xml:space="preserve">. Article 6 of the Indenture places limited restrictions on the Company’s ability to be a party to a Company Business Combination Event.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Defaults and Remedies</w:t>
      </w:r>
      <w:r>
        <w:rPr>
          <w:rFonts w:ascii="Times New Roman" w:hAnsi="Times New Roman"/>
          <w:sz w:val="20"/>
        </w:rPr>
        <w:t xml:space="preserve">. If an Event of Default occurs, then the principal amount of, and all accrued and unpaid interest on, and the Maturity Premium, if any, in respect of, all of the Notes then outstanding may (and, in certain circumstances, will automatically) become due and payable in the manner, and subject to the terms, set forth in Article 7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Amendments, Supplements and Waivers</w:t>
      </w:r>
      <w:r>
        <w:rPr>
          <w:rFonts w:ascii="Times New Roman" w:hAnsi="Times New Roman"/>
          <w:sz w:val="20"/>
        </w:rPr>
        <w:t xml:space="preserve">. The Company, the Parent Guarantor and the Trustee may amend or supplement the Indenture, the Notes or the Guarantee or waive compliance with any provision of the Indenture, the Notes or the Guarantee in the manner, and subject to the terms, set forth in Section 7.05 and Article 8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 [</w:t>
      </w:r>
      <w:r>
        <w:rPr>
          <w:rFonts w:ascii="Times New Roman" w:hAnsi="Times New Roman"/>
          <w:b/>
          <w:sz w:val="20"/>
        </w:rPr>
        <w:t>Registration Rights Agreement</w:t>
      </w:r>
      <w:r>
        <w:rPr>
          <w:rFonts w:ascii="Times New Roman" w:hAnsi="Times New Roman"/>
          <w:sz w:val="20"/>
        </w:rPr>
        <w:t>. In addition to the rights provided to Holders of Notes under the Indenture, Holders will have all the rights set forth in the Registration Rights Agreement dated as of [</w:t>
      </w:r>
      <w:r>
        <w:rPr>
          <w:rFonts w:ascii="Times New Roman" w:hAnsi="Times New Roman"/>
          <w:i/>
          <w:sz w:val="20"/>
        </w:rPr>
        <w:t>date</w:t>
      </w:r>
      <w:r>
        <w:rPr>
          <w:rFonts w:ascii="Times New Roman" w:hAnsi="Times New Roman"/>
          <w:sz w:val="20"/>
        </w:rPr>
        <w:t xml:space="preserve">], among the Company, the Parent Guarantor and [__].]†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No Personal Liability of Directors, Officers, Employees, Partners and Stockholders</w:t>
      </w:r>
      <w:r>
        <w:rPr>
          <w:rFonts w:ascii="Times New Roman" w:hAnsi="Times New Roman"/>
          <w:sz w:val="20"/>
        </w:rPr>
        <w:t xml:space="preserve">. No past, present or future director, officer, employee, incorporator, partner or stockholder of the Company or the Parent Guarantor, as such, will have any liability for any obligations of the Company or the Parent Guarantor under the Indenture, the Notes or the Guarantee or for any claim based on, in respect of, or by reason of, such obligations or their creation. By accepting any Note, each Holder waives and releases all such liability. Such waiver and release are part of the consideration for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Authentication</w:t>
      </w:r>
      <w:r>
        <w:rPr>
          <w:rFonts w:ascii="Times New Roman" w:hAnsi="Times New Roman"/>
          <w:sz w:val="20"/>
        </w:rPr>
        <w:t xml:space="preserve">. No Note will be valid until it is authenticated by the Trustee. A Note will be deemed to be duly authenticated only when an authorized signatory of the Trustee (or a duly appointed authenticating agent) manually signs the certificate of authentication of such Note.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Abbreviations</w:t>
      </w:r>
      <w:r>
        <w:rPr>
          <w:rFonts w:ascii="Times New Roman" w:hAnsi="Times New Roman"/>
          <w:sz w:val="20"/>
        </w:rPr>
        <w:t xml:space="preserve">. Customary abbreviations may be used in the name of a Holder or its assignee, such as TEN COM (tenants in common), TEN ENT (tenants by the entireties), JT TEN (joint tenants with right of survivorship and not as tenants in common), CUST (custodian), and U/G/M/A (Uniform Gift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Governing Law</w:t>
      </w:r>
      <w:r>
        <w:rPr>
          <w:rFonts w:ascii="Times New Roman" w:hAnsi="Times New Roman"/>
          <w:sz w:val="20"/>
        </w:rPr>
        <w:t xml:space="preserve">. THIS NOTE, AND ANY CLAIM, CONTROVERSY OR DISPUTE ARISING UNDER OR RELATED TO THIS NOTE,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To request a copy of the Indenture, which the Company will provide to any Holder at no charge, please send a written request to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Piedmont Operating Partnership, LP </w:t>
      </w:r>
    </w:p>
    <w:p>
      <w:pPr>
        <w:pStyle w:val="TextBody"/>
        <w:bidi w:val="0"/>
        <w:spacing w:before="0" w:after="0"/>
        <w:jc w:val="center"/>
        <w:rPr>
          <w:rFonts w:ascii="Times New Roman" w:hAnsi="Times New Roman"/>
          <w:sz w:val="20"/>
        </w:rPr>
      </w:pPr>
      <w:r>
        <w:rPr>
          <w:rFonts w:ascii="Times New Roman" w:hAnsi="Times New Roman"/>
          <w:sz w:val="20"/>
        </w:rPr>
        <w:t xml:space="preserve">5565 Glenridge Connector Suite 450 </w:t>
      </w:r>
    </w:p>
    <w:p>
      <w:pPr>
        <w:pStyle w:val="TextBody"/>
        <w:bidi w:val="0"/>
        <w:spacing w:before="0" w:after="0"/>
        <w:jc w:val="center"/>
        <w:rPr>
          <w:rFonts w:ascii="Times New Roman" w:hAnsi="Times New Roman"/>
          <w:sz w:val="20"/>
        </w:rPr>
      </w:pPr>
      <w:r>
        <w:rPr>
          <w:rFonts w:ascii="Times New Roman" w:hAnsi="Times New Roman"/>
          <w:sz w:val="20"/>
        </w:rPr>
        <w:t xml:space="preserve">Atlanta, GA 30342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for any Notes subject to a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EXCHANGES OF INTERESTS IN THE GLOBAL NOTE* </w:t>
      </w:r>
    </w:p>
    <w:p>
      <w:pPr>
        <w:pStyle w:val="TextBody"/>
        <w:bidi w:val="0"/>
        <w:spacing w:before="120" w:after="0"/>
        <w:jc w:val="center"/>
        <w:rPr>
          <w:rFonts w:ascii="Times New Roman" w:hAnsi="Times New Roman"/>
          <w:sz w:val="20"/>
        </w:rPr>
      </w:pPr>
      <w:r>
        <w:rPr>
          <w:rFonts w:ascii="Times New Roman" w:hAnsi="Times New Roman"/>
          <w:sz w:val="20"/>
        </w:rPr>
        <w:t xml:space="preserve">INITIAL PRINCIPAL AMOUNT OF THIS GLOBAL NOTE: $[___]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transfers or cancellations of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5"/>
        <w:gridCol w:w="60"/>
        <w:gridCol w:w="2478"/>
        <w:gridCol w:w="108"/>
        <w:gridCol w:w="2561"/>
        <w:gridCol w:w="121"/>
        <w:gridCol w:w="2202"/>
      </w:tblGrid>
      <w:tr>
        <w:trPr/>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bottom"/>
          </w:tcPr>
          <w:p>
            <w:pPr>
              <w:pStyle w:val="TableContents"/>
              <w:bidi w:val="0"/>
              <w:spacing w:before="0" w:after="283"/>
              <w:jc w:val="left"/>
              <w:rPr/>
            </w:pPr>
            <w:r>
              <w:rPr/>
              <w:t> </w:t>
            </w:r>
          </w:p>
        </w:tc>
        <w:tc>
          <w:tcPr>
            <w:tcW w:w="24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Increase</w:t>
              <w:br/>
              <w:t>(Decrease) in</w:t>
              <w:br/>
              <w:t>Principal Amount of</w:t>
              <w:br/>
              <w:t>this Global Note</w:t>
            </w:r>
          </w:p>
        </w:tc>
        <w:tc>
          <w:tcPr>
            <w:tcW w:w="108" w:type="dxa"/>
            <w:tcBorders/>
            <w:vAlign w:val="bottom"/>
          </w:tcPr>
          <w:p>
            <w:pPr>
              <w:pStyle w:val="TableContents"/>
              <w:bidi w:val="0"/>
              <w:spacing w:before="0" w:after="283"/>
              <w:jc w:val="left"/>
              <w:rPr/>
            </w:pPr>
            <w:r>
              <w:rPr/>
              <w:t> </w:t>
            </w:r>
          </w:p>
        </w:tc>
        <w:tc>
          <w:tcPr>
            <w:tcW w:w="25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 of</w:t>
              <w:br/>
              <w:t>this Global Note</w:t>
              <w:br/>
              <w:t>After Such Increase</w:t>
              <w:br/>
              <w:t>(Decrease)</w:t>
            </w:r>
          </w:p>
        </w:tc>
        <w:tc>
          <w:tcPr>
            <w:tcW w:w="121" w:type="dxa"/>
            <w:tcBorders/>
            <w:vAlign w:val="bottom"/>
          </w:tcPr>
          <w:p>
            <w:pPr>
              <w:pStyle w:val="TableContents"/>
              <w:bidi w:val="0"/>
              <w:spacing w:before="0" w:after="283"/>
              <w:jc w:val="left"/>
              <w:rPr/>
            </w:pPr>
            <w:r>
              <w:rPr/>
              <w:t>  </w:t>
            </w:r>
          </w:p>
        </w:tc>
        <w:tc>
          <w:tcPr>
            <w:tcW w:w="22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 of</w:t>
              <w:br/>
              <w:t>Authorized</w:t>
              <w:br/>
              <w:t>Signatory of Trustee</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2675" w:type="dxa"/>
            <w:tcBorders/>
            <w:vAlign w:val="center"/>
          </w:tcPr>
          <w:p>
            <w:pPr>
              <w:pStyle w:val="TableContents"/>
              <w:bidi w:val="0"/>
              <w:spacing w:before="0" w:after="283"/>
              <w:jc w:val="left"/>
              <w:rPr>
                <w:sz w:val="4"/>
                <w:szCs w:val="4"/>
              </w:rPr>
            </w:pPr>
            <w:r>
              <w:rPr>
                <w:sz w:val="4"/>
                <w:szCs w:val="4"/>
              </w:rPr>
            </w:r>
          </w:p>
        </w:tc>
        <w:tc>
          <w:tcPr>
            <w:tcW w:w="2538" w:type="dxa"/>
            <w:gridSpan w:val="2"/>
            <w:tcBorders/>
            <w:vAlign w:val="center"/>
          </w:tcPr>
          <w:p>
            <w:pPr>
              <w:pStyle w:val="TableContents"/>
              <w:bidi w:val="0"/>
              <w:spacing w:before="0" w:after="283"/>
              <w:jc w:val="left"/>
              <w:rPr>
                <w:sz w:val="4"/>
                <w:szCs w:val="4"/>
              </w:rPr>
            </w:pPr>
            <w:r>
              <w:rPr>
                <w:sz w:val="4"/>
                <w:szCs w:val="4"/>
              </w:rPr>
            </w:r>
          </w:p>
        </w:tc>
        <w:tc>
          <w:tcPr>
            <w:tcW w:w="2669"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78"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61"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2202"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EXCHANGE NOTICE </w:t>
      </w:r>
    </w:p>
    <w:p>
      <w:pPr>
        <w:pStyle w:val="TextBody"/>
        <w:bidi w:val="0"/>
        <w:spacing w:before="120" w:after="0"/>
        <w:jc w:val="center"/>
        <w:rPr>
          <w:rFonts w:ascii="Times New Roman" w:hAnsi="Times New Roman"/>
          <w:sz w:val="20"/>
        </w:rPr>
      </w:pPr>
      <w:r>
        <w:rPr>
          <w:rFonts w:ascii="Times New Roman" w:hAnsi="Times New Roman"/>
          <w:sz w:val="20"/>
        </w:rPr>
        <w:t xml:space="preserve">Piedmont Operating Partnership, LP </w:t>
      </w:r>
    </w:p>
    <w:p>
      <w:pPr>
        <w:pStyle w:val="TextBody"/>
        <w:bidi w:val="0"/>
        <w:spacing w:before="120" w:after="0"/>
        <w:jc w:val="center"/>
        <w:rPr>
          <w:rFonts w:ascii="Times New Roman" w:hAnsi="Times New Roman"/>
          <w:sz w:val="20"/>
        </w:rPr>
      </w:pPr>
      <w:r>
        <w:rPr>
          <w:rFonts w:ascii="Times New Roman" w:hAnsi="Times New Roman"/>
          <w:sz w:val="20"/>
        </w:rPr>
        <w:t xml:space="preserve">2.875%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Exchange Notice, the undersigned Holder of the Note identified below directs the Company to Exchange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$________*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No.__________ and Certificate No.__________ .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if the Exchange Date of a Note to be Exchanged is after a Regular Record Date and before the next Interest Payment Date, then such Note, when surrendered for Exchange, must, in certain circumstances, be accompanied with an amount of cash equal to the interest that would have accrued on such Note to, but excluding, such Interest Payment Date. The undersigned Holder represents to the Company that, as of the Exchange Date relating to this Exchange Notice, the undersigned Holder is either a “qualified institutional buyer” (as defined in Rule 144A) or an “accredited investor” (as defined in Rule 501). </w:t>
      </w:r>
    </w:p>
    <w:tbl>
      <w:tblPr>
        <w:tblW w:w="5000" w:type="pct"/>
        <w:jc w:val="left"/>
        <w:tblInd w:w="0" w:type="dxa"/>
        <w:tblLayout w:type="fixed"/>
        <w:tblCellMar>
          <w:top w:w="0" w:type="dxa"/>
          <w:left w:w="0" w:type="dxa"/>
          <w:bottom w:w="0" w:type="dxa"/>
          <w:right w:w="0" w:type="dxa"/>
        </w:tblCellMar>
      </w:tblPr>
      <w:tblGrid>
        <w:gridCol w:w="4568"/>
        <w:gridCol w:w="103"/>
        <w:gridCol w:w="404"/>
        <w:gridCol w:w="103"/>
        <w:gridCol w:w="317"/>
        <w:gridCol w:w="103"/>
        <w:gridCol w:w="4607"/>
      </w:tblGrid>
      <w:tr>
        <w:trPr/>
        <w:tc>
          <w:tcPr>
            <w:tcW w:w="456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(Legal Name of Holder)</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 xml:space="preserve">Name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Title</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Signature Guaranteed</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Participant in a Recognized Signature</w:t>
              <w:br/>
              <w:t>Guarantee Medallion Program</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FUNDAMENTAL CHANGE REPURCHASE NOTICE </w:t>
      </w:r>
    </w:p>
    <w:p>
      <w:pPr>
        <w:pStyle w:val="TextBody"/>
        <w:bidi w:val="0"/>
        <w:spacing w:before="120" w:after="0"/>
        <w:jc w:val="center"/>
        <w:rPr>
          <w:rFonts w:ascii="Times New Roman" w:hAnsi="Times New Roman"/>
          <w:sz w:val="20"/>
        </w:rPr>
      </w:pPr>
      <w:r>
        <w:rPr>
          <w:rFonts w:ascii="Times New Roman" w:hAnsi="Times New Roman"/>
          <w:sz w:val="20"/>
        </w:rPr>
        <w:t xml:space="preserve">Piedmont Operating Partnership, LP </w:t>
      </w:r>
    </w:p>
    <w:p>
      <w:pPr>
        <w:pStyle w:val="TextBody"/>
        <w:bidi w:val="0"/>
        <w:spacing w:before="120" w:after="0"/>
        <w:jc w:val="center"/>
        <w:rPr>
          <w:rFonts w:ascii="Times New Roman" w:hAnsi="Times New Roman"/>
          <w:sz w:val="20"/>
        </w:rPr>
      </w:pPr>
      <w:r>
        <w:rPr>
          <w:rFonts w:ascii="Times New Roman" w:hAnsi="Times New Roman"/>
          <w:sz w:val="20"/>
        </w:rPr>
        <w:t xml:space="preserve">2.875%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by executing and delivering this Fundamental Change Repurchase Notice, the undersigned Holder of the Note identified below is exercising its Fundamental Change Repurchase Right with respect to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$________*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No.________ and Certificate No.________ .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this Note, duly endorsed for transfer, must be delivered to the Paying Agent before the Fundamental Change Repurchase Price will be paid. </w:t>
      </w:r>
    </w:p>
    <w:tbl>
      <w:tblPr>
        <w:tblW w:w="5000" w:type="pct"/>
        <w:jc w:val="left"/>
        <w:tblInd w:w="0" w:type="dxa"/>
        <w:tblLayout w:type="fixed"/>
        <w:tblCellMar>
          <w:top w:w="0" w:type="dxa"/>
          <w:left w:w="0" w:type="dxa"/>
          <w:bottom w:w="0" w:type="dxa"/>
          <w:right w:w="0" w:type="dxa"/>
        </w:tblCellMar>
      </w:tblPr>
      <w:tblGrid>
        <w:gridCol w:w="4568"/>
        <w:gridCol w:w="103"/>
        <w:gridCol w:w="404"/>
        <w:gridCol w:w="103"/>
        <w:gridCol w:w="317"/>
        <w:gridCol w:w="103"/>
        <w:gridCol w:w="4607"/>
      </w:tblGrid>
      <w:tr>
        <w:trPr/>
        <w:tc>
          <w:tcPr>
            <w:tcW w:w="456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(Legal Name of Holder)</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 xml:space="preserve">Name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Title</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Signature Guaranteed</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Participant in a Recognized Signature</w:t>
              <w:br/>
              <w:t>Guarantee Medallion Program</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120" w:after="0"/>
        <w:jc w:val="center"/>
        <w:rPr>
          <w:rFonts w:ascii="Times New Roman" w:hAnsi="Times New Roman"/>
          <w:sz w:val="20"/>
        </w:rPr>
      </w:pPr>
      <w:r>
        <w:rPr>
          <w:rFonts w:ascii="Times New Roman" w:hAnsi="Times New Roman"/>
          <w:sz w:val="20"/>
        </w:rPr>
        <w:t xml:space="preserve">Piedmont Operating Partnership, LP </w:t>
      </w:r>
    </w:p>
    <w:p>
      <w:pPr>
        <w:pStyle w:val="TextBody"/>
        <w:bidi w:val="0"/>
        <w:spacing w:before="120" w:after="0"/>
        <w:jc w:val="center"/>
        <w:rPr>
          <w:rFonts w:ascii="Times New Roman" w:hAnsi="Times New Roman"/>
          <w:sz w:val="20"/>
        </w:rPr>
      </w:pPr>
      <w:r>
        <w:rPr>
          <w:rFonts w:ascii="Times New Roman" w:hAnsi="Times New Roman"/>
          <w:sz w:val="20"/>
        </w:rPr>
        <w:t xml:space="preserve">2.875% Exchangeable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the undersigned Holder of the Note identified below assigns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entire principal amount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$________* aggregate principal amount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 identified by CUSIP No.________ and Certificate No.________, and all rights thereunder,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7"/>
        <w:gridCol w:w="101"/>
        <w:gridCol w:w="7247"/>
      </w:tblGrid>
      <w:tr>
        <w:trPr/>
        <w:tc>
          <w:tcPr>
            <w:tcW w:w="285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247" w:type="dxa"/>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Name:</w:t>
            </w:r>
          </w:p>
        </w:tc>
        <w:tc>
          <w:tcPr>
            <w:tcW w:w="101"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u w:val="single"/>
              </w:rPr>
            </w:pPr>
            <w:r>
              <w:rPr>
                <w:u w:val="single"/>
              </w:rPr>
              <w:t>                                </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Address:</w:t>
            </w:r>
          </w:p>
        </w:tc>
        <w:tc>
          <w:tcPr>
            <w:tcW w:w="101"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u w:val="single"/>
              </w:rPr>
            </w:pPr>
            <w:r>
              <w:rPr>
                <w:u w:val="single"/>
              </w:rPr>
              <w:t>                                </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Social security or tax id. #:</w:t>
            </w:r>
          </w:p>
        </w:tc>
        <w:tc>
          <w:tcPr>
            <w:tcW w:w="101"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u w:val="single"/>
              </w:rPr>
            </w:pPr>
            <w:r>
              <w:rPr>
                <w:u w:val="single"/>
              </w:rPr>
              <w:t>                        </w:t>
            </w:r>
          </w:p>
        </w:tc>
      </w:tr>
      <w:tr>
        <w:trPr>
          <w:trHeight w:val="120" w:hRule="atLeast"/>
        </w:trPr>
        <w:tc>
          <w:tcPr>
            <w:tcW w:w="2857"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r>
      <w:tr>
        <w:trPr/>
        <w:tc>
          <w:tcPr>
            <w:tcW w:w="2857" w:type="dxa"/>
            <w:tcBorders/>
          </w:tcPr>
          <w:p>
            <w:pPr>
              <w:pStyle w:val="TableContents"/>
              <w:bidi w:val="0"/>
              <w:spacing w:before="0" w:after="283"/>
              <w:jc w:val="left"/>
              <w:rPr/>
            </w:pPr>
            <w:r>
              <w:rPr/>
              <w:t>and irrevocably appoints:</w:t>
            </w:r>
          </w:p>
        </w:tc>
        <w:tc>
          <w:tcPr>
            <w:tcW w:w="101"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agent to transfer the within Note on the books of the Company. The agent may substitute another to act for him/her. </w:t>
      </w:r>
    </w:p>
    <w:tbl>
      <w:tblPr>
        <w:tblW w:w="5000" w:type="pct"/>
        <w:jc w:val="left"/>
        <w:tblInd w:w="0" w:type="dxa"/>
        <w:tblLayout w:type="fixed"/>
        <w:tblCellMar>
          <w:top w:w="0" w:type="dxa"/>
          <w:left w:w="0" w:type="dxa"/>
          <w:bottom w:w="0" w:type="dxa"/>
          <w:right w:w="0" w:type="dxa"/>
        </w:tblCellMar>
      </w:tblPr>
      <w:tblGrid>
        <w:gridCol w:w="4568"/>
        <w:gridCol w:w="103"/>
        <w:gridCol w:w="404"/>
        <w:gridCol w:w="103"/>
        <w:gridCol w:w="317"/>
        <w:gridCol w:w="103"/>
        <w:gridCol w:w="4607"/>
      </w:tblGrid>
      <w:tr>
        <w:trPr/>
        <w:tc>
          <w:tcPr>
            <w:tcW w:w="456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(Legal Name of Holder)</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 xml:space="preserve">Name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Title</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Signature Guaranteed</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Participant in a Recognized Signature</w:t>
              <w:br/>
              <w:t>Guarantee Medallion Program</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Authorized Signatory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Must be an Authorized Denomination.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TRANSFEROR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If the within Note bears a Restricted Note Legend, the undersigned further certifies that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to the Company or a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pursuant to, and in accordance with, a registration statement that is effective under the Securities Act at the time of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   ☐</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 </w:t>
            </w:r>
            <w:r>
              <w:rPr>
                <w:rFonts w:ascii="Times New Roman" w:hAnsi="Times New Roman"/>
                <w:b/>
                <w:sz w:val="20"/>
              </w:rPr>
              <w:t>If this item is checked, then the transferee must complete and execute the acknowledgment contained on the next page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being made pursuant to, and in accordance with, any other available exemption from the registration requirements of the Securities Act (including, if available, the exemption provided by Rule 144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8"/>
        <w:gridCol w:w="103"/>
        <w:gridCol w:w="404"/>
        <w:gridCol w:w="103"/>
        <w:gridCol w:w="317"/>
        <w:gridCol w:w="103"/>
        <w:gridCol w:w="4607"/>
      </w:tblGrid>
      <w:tr>
        <w:trPr/>
        <w:tc>
          <w:tcPr>
            <w:tcW w:w="456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pPr>
            <w:r>
              <w:rPr/>
              <w:t>Date:</w:t>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(Legal Name of Holder)</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 xml:space="preserve">Name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left"/>
              <w:rPr/>
            </w:pPr>
            <w:r>
              <w:rPr/>
              <w:t>Title</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bidi w:val="0"/>
              <w:spacing w:before="0" w:after="283"/>
              <w:jc w:val="left"/>
              <w:rPr/>
            </w:pPr>
            <w:r>
              <w:rPr/>
              <w:t>Signature Guaranteed</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5130" w:type="dxa"/>
            <w:gridSpan w:val="4"/>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7" w:type="dxa"/>
            <w:gridSpan w:val="3"/>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Participant in a Recognized Signature</w:t>
              <w:br/>
              <w:t>Guarantee Medallion Program</w:t>
            </w:r>
          </w:p>
        </w:tc>
      </w:tr>
      <w:tr>
        <w:trPr>
          <w:trHeight w:val="240" w:hRule="atLeast"/>
        </w:trPr>
        <w:tc>
          <w:tcPr>
            <w:tcW w:w="456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pBdr>
                <w:bottom w:val="single" w:sz="2" w:space="1" w:color="000000"/>
              </w:pBdr>
              <w:bidi w:val="0"/>
              <w:spacing w:before="0" w:after="20"/>
              <w:jc w:val="left"/>
              <w:rPr/>
            </w:pPr>
            <w:r>
              <w:rPr/>
              <w:t> </w:t>
            </w:r>
          </w:p>
        </w:tc>
      </w:tr>
      <w:tr>
        <w:trPr/>
        <w:tc>
          <w:tcPr>
            <w:tcW w:w="456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7" w:type="dxa"/>
            <w:tcBorders/>
            <w:vAlign w:val="bottom"/>
          </w:tcPr>
          <w:p>
            <w:pPr>
              <w:pStyle w:val="TableContents"/>
              <w:bidi w:val="0"/>
              <w:spacing w:before="0" w:after="283"/>
              <w:jc w:val="center"/>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TRANSFEREE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2"/>
        <w:gridCol w:w="61"/>
        <w:gridCol w:w="3309"/>
      </w:tblGrid>
      <w:tr>
        <w:trPr/>
        <w:tc>
          <w:tcPr>
            <w:tcW w:w="71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712" w:type="dxa"/>
            <w:tcBorders/>
          </w:tcPr>
          <w:p>
            <w:pPr>
              <w:pStyle w:val="TableContents"/>
              <w:bidi w:val="0"/>
              <w:spacing w:before="0" w:after="283"/>
              <w:jc w:val="left"/>
              <w:rPr/>
            </w:pPr>
            <w:r>
              <w:rPr/>
              <w:t>Dated:</w:t>
            </w:r>
          </w:p>
        </w:tc>
        <w:tc>
          <w:tcPr>
            <w:tcW w:w="61" w:type="dxa"/>
            <w:tcBorders/>
            <w:vAlign w:val="bottom"/>
          </w:tcPr>
          <w:p>
            <w:pPr>
              <w:pStyle w:val="TableContents"/>
              <w:bidi w:val="0"/>
              <w:spacing w:before="0" w:after="283"/>
              <w:jc w:val="left"/>
              <w:rPr/>
            </w:pPr>
            <w:r>
              <w:rPr/>
              <w:t> </w:t>
            </w:r>
          </w:p>
        </w:tc>
        <w:tc>
          <w:tcPr>
            <w:tcW w:w="3309"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(Name of Transferee)</w:t>
            </w:r>
          </w:p>
        </w:tc>
      </w:tr>
      <w:tr>
        <w:trPr>
          <w:trHeight w:val="240" w:hRule="atLeast"/>
        </w:trPr>
        <w:tc>
          <w:tcPr>
            <w:tcW w:w="712"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r>
      <w:tr>
        <w:trPr/>
        <w:tc>
          <w:tcPr>
            <w:tcW w:w="71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09" w:type="dxa"/>
            <w:tcBorders/>
          </w:tcPr>
          <w:p>
            <w:pPr>
              <w:pStyle w:val="TableContents"/>
              <w:pBdr>
                <w:bottom w:val="single" w:sz="2" w:space="1" w:color="000000"/>
              </w:pBdr>
              <w:bidi w:val="0"/>
              <w:spacing w:before="0" w:after="20"/>
              <w:jc w:val="left"/>
              <w:rPr/>
            </w:pPr>
            <w:r>
              <w:rPr/>
              <w:t> </w:t>
            </w:r>
          </w:p>
        </w:tc>
      </w:tr>
      <w:tr>
        <w:trPr/>
        <w:tc>
          <w:tcPr>
            <w:tcW w:w="71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09" w:type="dxa"/>
            <w:tcBorders/>
            <w:vAlign w:val="bottom"/>
          </w:tcPr>
          <w:p>
            <w:pPr>
              <w:pStyle w:val="TableContents"/>
              <w:bidi w:val="0"/>
              <w:spacing w:before="0" w:after="283"/>
              <w:jc w:val="left"/>
              <w:rPr/>
            </w:pPr>
            <w:r>
              <w:rPr/>
              <w:t>Name:</w:t>
            </w:r>
          </w:p>
        </w:tc>
      </w:tr>
      <w:tr>
        <w:trPr/>
        <w:tc>
          <w:tcPr>
            <w:tcW w:w="71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09"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RESTRICTED NOTE LEGEND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NOTE AND THE SHARES OF COMMON STOCK, IF ANY, ISSUABLE UPON EXCHANGE OF THIS NOTE HAVE NOT BEEN REGISTERED UNDER THE SECURITIES ACT OF 1933, AS AMENDED (THE “SECURITIES ACT”), AND THIS NOTE MAY NOT BE OFFERED, SOLD, PLEDGED OR OTHERWISE TRANSFERRED EXCEPT IN ACCORDANCE WITH THE FOLLOWING SENTENCE. BY ITS ACQUISITION HEREOF OR OF A BENEFICIAL INTEREST HEREIN, THE ACQUIRER: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THAT IT AND ANY ACCOUNT FOR WHICH IT IS ACTING IS A “QUALIFIED INSTITUTIONAL BUYER” (WITHIN THE MEANING OF RULE 144A UNDER THE SECURITIES ACT) AND THAT IT EXERCISES SOLE INVESTMENT DISCRETION WITH RESPECT TO EACH SUCH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AGREES FOR THE BENEFIT OF PIEDMONT OPERATING PARTNERSHIP, LP (THE “COMPANY”) THAT IT WILL NOT OFFER, SELL, PLEDGE OR OTHERWISE TRANSFER THIS NOTE OR ANY BENEFICIAL INTEREST HEREIN, EXCEPT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PIEDMONT REALTY TRUST, INC. OR ANY SUBSIDIARY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REGISTRATION STATEMENT THAT IS EFFECTIVE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QUALIFIED INSTITUTIONAL BUYER IN COMPLIANCE WITH RULE 144A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144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ANY OTHER EXEMPTION FROM, OR IN A TRANSACTION NOT SUBJECT TO, THE REGISTRATION REQUIREMENTS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REGISTRATION OF ANY SALE OR TRANSFER IN ACCORDANCE WITH (2)(C), (D) OR (E) ABOVE, THE COMPANY, PIEDMONT REALTY TRUST, INC.,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GLOBAL NOTE LEGEND </w:t>
      </w:r>
    </w:p>
    <w:p>
      <w:pPr>
        <w:pStyle w:val="TextBody"/>
        <w:bidi w:val="0"/>
        <w:spacing w:before="240" w:after="0"/>
        <w:jc w:val="left"/>
        <w:rPr>
          <w:rFonts w:ascii="Times New Roman" w:hAnsi="Times New Roman"/>
          <w:sz w:val="20"/>
        </w:rPr>
      </w:pPr>
      <w:r>
        <w:rPr>
          <w:rFonts w:ascii="Times New Roman" w:hAnsi="Times New Roman"/>
          <w:sz w:val="20"/>
        </w:rPr>
        <w:t xml:space="preserve">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OF NON-AFFILIATE LEGEND </w:t>
      </w:r>
    </w:p>
    <w:p>
      <w:pPr>
        <w:pStyle w:val="TextBody"/>
        <w:bidi w:val="0"/>
        <w:spacing w:before="240" w:after="0"/>
        <w:jc w:val="left"/>
        <w:rPr>
          <w:rFonts w:ascii="Times New Roman" w:hAnsi="Times New Roman"/>
          <w:sz w:val="20"/>
        </w:rPr>
      </w:pPr>
      <w:r>
        <w:rPr>
          <w:rFonts w:ascii="Times New Roman" w:hAnsi="Times New Roman"/>
          <w:sz w:val="20"/>
        </w:rPr>
        <w:t xml:space="preserve">NO AFFILIATE (AS DEFINED IN RULE 144 UNDER THE SECURITIES ACT OF 1933, AS AMENDED) OF THE COMPANY MAY PURCHASE OR OTHERWISE ACQUIRE THIS NOTE OR ANY BENEFICIAL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p>
    <w:p>
      <w:pPr>
        <w:pStyle w:val="TextBody"/>
        <w:bidi w:val="0"/>
        <w:spacing w:before="0" w:after="0"/>
        <w:jc w:val="right"/>
        <w:rPr>
          <w:rFonts w:ascii="Times New Roman" w:hAnsi="Times New Roman"/>
          <w:b/>
          <w:sz w:val="20"/>
        </w:rPr>
      </w:pPr>
      <w:bookmarkStart w:id="4" w:name="d153824dex43.htm"/>
      <w:bookmarkStart w:id="5" w:name="ksd153824dex43"/>
      <w:bookmarkEnd w:id="4"/>
      <w:bookmarkEnd w:id="5"/>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Piedmont Operating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Piedmont Realty Trust, Inc.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17,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85"/>
        <w:gridCol w:w="127"/>
        <w:gridCol w:w="8065"/>
        <w:gridCol w:w="176"/>
        <w:gridCol w:w="90"/>
        <w:gridCol w:w="400"/>
        <w:gridCol w:w="62"/>
      </w:tblGrid>
      <w:tr>
        <w:trPr/>
        <w:tc>
          <w:tcPr>
            <w:tcW w:w="128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06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28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6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1.</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2.</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3.</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Resale Registration 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(a)</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Filing and Effectiveness of Resale Registration 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(b)</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Contents of and Requirements for Resale Registration 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(c)</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Obligation to Make Filings to Name Additional Notice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(d)</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Filing of New Resale Registration Statement; Designation of Existing Registration 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(e)</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Where SEC Rules Do Not Require Naming Selling Securityholders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4.</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Blackout Periods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(a)</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Generally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(b)</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Blackout Periods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5.</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Certain Registration and Related Procedures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(a)</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Registration Obligations and Securities Act; SEC Staff Comments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(b)</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Opportunity for Review</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(c)</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Blue Sky Qualification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(d)</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Prevention and Lifting of Suspension Orders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(e)</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Notices of Certain Events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(f)</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Remediation of Material Disclosure Defects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(g)</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Listing of Registrable Securities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(h)</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Provision of Copies of the Prospectus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(i)</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Holders Cannot Be Identified as Underwriters Without Consent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(j)</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Earnings 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(k)</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Transfers and De-Legending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6.</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7.</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Accrual of Additional Interest During Registration Default Events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(a)</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Generally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(b)</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No Registration Default Events Outside the Resale Registration Statement Effectiveness Period; No Accrual of Additional Interest on Registrable Securities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(c)</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Accrual and Payment of Additional Interest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(d)</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Remedies Not Exclusive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8.</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Certain Agreements and Representations of the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(a)</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Provision of Information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(b)</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Use of Offering Materials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(c)</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Covenants Relating to Blackout Periods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left"/>
              <w:rPr/>
            </w:pPr>
            <w:r>
              <w:rPr/>
              <w:t>Section 9.</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and Contribution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(a)</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by the Issuers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75" w:hRule="atLeast"/>
        </w:trPr>
        <w:tc>
          <w:tcPr>
            <w:tcW w:w="1285"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285" w:type="dxa"/>
            <w:tcBorders/>
          </w:tcPr>
          <w:p>
            <w:pPr>
              <w:pStyle w:val="TableContents"/>
              <w:bidi w:val="0"/>
              <w:spacing w:before="0" w:after="283"/>
              <w:jc w:val="center"/>
              <w:rPr/>
            </w:pPr>
            <w:r>
              <w:rPr/>
              <w:t>(b)</w:t>
            </w:r>
          </w:p>
        </w:tc>
        <w:tc>
          <w:tcPr>
            <w:tcW w:w="127" w:type="dxa"/>
            <w:tcBorders/>
            <w:vAlign w:val="bottom"/>
          </w:tcPr>
          <w:p>
            <w:pPr>
              <w:pStyle w:val="TableContents"/>
              <w:bidi w:val="0"/>
              <w:spacing w:before="0" w:after="283"/>
              <w:jc w:val="left"/>
              <w:rPr/>
            </w:pPr>
            <w:r>
              <w:rPr/>
              <w:t> </w:t>
            </w:r>
          </w:p>
        </w:tc>
        <w:tc>
          <w:tcPr>
            <w:tcW w:w="806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by the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64"/>
        <w:gridCol w:w="123"/>
        <w:gridCol w:w="8170"/>
        <w:gridCol w:w="164"/>
        <w:gridCol w:w="60"/>
        <w:gridCol w:w="261"/>
        <w:gridCol w:w="63"/>
      </w:tblGrid>
      <w:tr>
        <w:trPr/>
        <w:tc>
          <w:tcPr>
            <w:tcW w:w="13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17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(c)</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Procedures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(d)</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Where Indemnification Not Available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(e)</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Remedies Not Exclusive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left"/>
              <w:rPr/>
            </w:pPr>
            <w:r>
              <w:rPr/>
              <w:t>Section 10.</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Subsequent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left"/>
              <w:rPr/>
            </w:pPr>
            <w:r>
              <w:rPr/>
              <w:t>Section 11.</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(a)</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(b)</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Amendments and Waivers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(c)</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Third Party Beneficiaries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(d)</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Waiver of Jury Trial</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(e)</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(f)</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(g)</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(h)</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(i)</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(j)</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(k)</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1364" w:type="dxa"/>
            <w:tcBorders/>
            <w:vAlign w:val="center"/>
          </w:tcPr>
          <w:p>
            <w:pPr>
              <w:pStyle w:val="TableContents"/>
              <w:bidi w:val="0"/>
              <w:spacing w:before="0" w:after="283"/>
              <w:jc w:val="left"/>
              <w:rPr>
                <w:sz w:val="4"/>
                <w:szCs w:val="4"/>
              </w:rPr>
            </w:pPr>
            <w:r>
              <w:rPr>
                <w:sz w:val="4"/>
                <w:szCs w:val="4"/>
              </w:rPr>
            </w:r>
          </w:p>
        </w:tc>
        <w:tc>
          <w:tcPr>
            <w:tcW w:w="8293"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364" w:type="dxa"/>
            <w:tcBorders/>
          </w:tcPr>
          <w:p>
            <w:pPr>
              <w:pStyle w:val="TableContents"/>
              <w:bidi w:val="0"/>
              <w:spacing w:before="0" w:after="283"/>
              <w:jc w:val="center"/>
              <w:rPr/>
            </w:pPr>
            <w:r>
              <w:rPr/>
              <w:t>(l)</w:t>
            </w:r>
          </w:p>
        </w:tc>
        <w:tc>
          <w:tcPr>
            <w:tcW w:w="123" w:type="dxa"/>
            <w:tcBorders/>
            <w:vAlign w:val="bottom"/>
          </w:tcPr>
          <w:p>
            <w:pPr>
              <w:pStyle w:val="TableContents"/>
              <w:bidi w:val="0"/>
              <w:spacing w:before="0" w:after="283"/>
              <w:jc w:val="left"/>
              <w:rPr/>
            </w:pPr>
            <w:r>
              <w:rPr/>
              <w:t> </w:t>
            </w:r>
          </w:p>
        </w:tc>
        <w:tc>
          <w:tcPr>
            <w:tcW w:w="8170"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REGISTRATION RIGHTS AGREEMENT</w:t>
      </w:r>
      <w:r>
        <w:rPr>
          <w:rFonts w:ascii="Times New Roman" w:hAnsi="Times New Roman"/>
          <w:sz w:val="20"/>
        </w:rPr>
        <w:t>, dated as of September 17, 2026, among Piedmont Operating Partnership, LP, a Delaware limited partnership (the “</w:t>
      </w:r>
      <w:r>
        <w:rPr>
          <w:rFonts w:ascii="Times New Roman" w:hAnsi="Times New Roman"/>
          <w:b/>
          <w:sz w:val="20"/>
        </w:rPr>
        <w:t>Company</w:t>
      </w:r>
      <w:r>
        <w:rPr>
          <w:rFonts w:ascii="Times New Roman" w:hAnsi="Times New Roman"/>
          <w:sz w:val="20"/>
        </w:rPr>
        <w:t>”), Piedmont Realty Trust, Inc., a Maryland corporation (the “</w:t>
      </w:r>
      <w:r>
        <w:rPr>
          <w:rFonts w:ascii="Times New Roman" w:hAnsi="Times New Roman"/>
          <w:b/>
          <w:sz w:val="20"/>
        </w:rPr>
        <w:t>Parent Guarantor</w:t>
      </w:r>
      <w:r>
        <w:rPr>
          <w:rFonts w:ascii="Times New Roman" w:hAnsi="Times New Roman"/>
          <w:sz w:val="20"/>
        </w:rPr>
        <w:t xml:space="preserve">”), and the representatives of the Initial Purchasers signatory 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execution and delivery of this Agreement is a condition to the closing of the transactions contemplated by the Purchase Agreement (as defined in </w:t>
      </w: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THEREFORE</w:t>
      </w:r>
      <w:r>
        <w:rPr>
          <w:rFonts w:ascii="Times New Roman" w:hAnsi="Times New Roman"/>
          <w:sz w:val="20"/>
        </w:rPr>
        <w:t xml:space="preserve">, the Issuers (as defined below) jointly and severally agree as follows for the benefit of the Initial Purchasers and the Holders (as defined in </w:t>
      </w: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3(a)(9) Period</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any fee payable by the Issuers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has the meaning set forth in Rule 144.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Registration Rights Agreement, as amended or supplemented from time to time. </w:t>
      </w:r>
    </w:p>
    <w:p>
      <w:pPr>
        <w:pStyle w:val="TextBody"/>
        <w:bidi w:val="0"/>
        <w:spacing w:before="240" w:after="0"/>
        <w:jc w:val="left"/>
        <w:rPr/>
      </w:pPr>
      <w:r>
        <w:rPr/>
        <w:t>“</w:t>
      </w:r>
      <w:r>
        <w:rPr>
          <w:rFonts w:ascii="Times New Roman" w:hAnsi="Times New Roman"/>
          <w:b/>
          <w:sz w:val="20"/>
        </w:rPr>
        <w:t>As-Exchanged Note Ownership Percentage</w:t>
      </w:r>
      <w:r>
        <w:rPr>
          <w:rFonts w:ascii="Times New Roman" w:hAnsi="Times New Roman"/>
          <w:sz w:val="20"/>
        </w:rPr>
        <w:t xml:space="preserve">” means, with respect to any Holder(s) as of any time, a fraction (a) whose numerator is the aggregate number of Registrable Securities owned, or issuable upon Exchange of Initial Notes owned, by such Holder(s) as of such time; and (b) whose denominator is the aggregate number of Registrable Securities that are then outstanding or are issuable upon Exchange of all Initial Notes then outstanding (assuming, for these purposes, that Exchanges are settled solely in Registrable Securities at the then-applicable Exchange Rate) (for the avoidance of doubt, without regard to anything to the contrary in Sections 5.01(D) and 5.03 of the Indenture). Solely for purposes of this definition, Initial Notes or Registrable Securities owned by the Company, the Parent Guarantor or any of the Company’s or the Parent Guarantor’s Affiliates will be deemed not to be outstanding. </w:t>
      </w:r>
    </w:p>
    <w:p>
      <w:pPr>
        <w:pStyle w:val="TextBody"/>
        <w:bidi w:val="0"/>
        <w:spacing w:before="240" w:after="0"/>
        <w:jc w:val="left"/>
        <w:rPr/>
      </w:pPr>
      <w:r>
        <w:rPr/>
        <w:t>“</w:t>
      </w:r>
      <w:r>
        <w:rPr>
          <w:rFonts w:ascii="Times New Roman" w:hAnsi="Times New Roman"/>
          <w:b/>
          <w:sz w:val="20"/>
        </w:rPr>
        <w:t>Blackout Commencement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Blackout Period</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Blackout Termination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$0.01 par value per share, of the Parent Guarantor. </w:t>
      </w:r>
    </w:p>
    <w:p>
      <w:pPr>
        <w:pStyle w:val="TextBody"/>
        <w:bidi w:val="0"/>
        <w:spacing w:before="240" w:after="0"/>
        <w:jc w:val="left"/>
        <w:rPr/>
      </w:pPr>
      <w:r>
        <w:rPr/>
        <w:t>“</w:t>
      </w:r>
      <w:r>
        <w:rPr>
          <w:rFonts w:ascii="Times New Roman" w:hAnsi="Times New Roman"/>
          <w:b/>
          <w:sz w:val="20"/>
        </w:rPr>
        <w:t>Common Stock Change Event</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Company Indemnified Person</w:t>
      </w:r>
      <w:r>
        <w:rPr>
          <w:rFonts w:ascii="Times New Roman" w:hAnsi="Times New Roman"/>
          <w:sz w:val="20"/>
        </w:rPr>
        <w:t xml:space="preserve">” means each of the following Persons: (a) any Issuer; (b) any Affiliate of any Issuer; (c) any partner, director, officer, member, stockholder, employee, advisor or other representative of any Issuer or its Affiliates; (d) each Person, if any, who controls any Issuer within the meaning of Section 15 of the Securities Act or Section 20 of the Exchange Act; and (e) each successor of the foregoing Persons. </w:t>
      </w:r>
    </w:p>
    <w:p>
      <w:pPr>
        <w:pStyle w:val="TextBody"/>
        <w:bidi w:val="0"/>
        <w:spacing w:before="240" w:after="0"/>
        <w:jc w:val="left"/>
        <w:rPr/>
      </w:pPr>
      <w:r>
        <w:rPr/>
        <w:t>“</w:t>
      </w:r>
      <w:r>
        <w:rPr>
          <w:rFonts w:ascii="Times New Roman" w:hAnsi="Times New Roman"/>
          <w:b/>
          <w:sz w:val="20"/>
        </w:rPr>
        <w:t>Company Registration Expenses</w:t>
      </w:r>
      <w:r>
        <w:rPr>
          <w:rFonts w:ascii="Times New Roman" w:hAnsi="Times New Roman"/>
          <w:sz w:val="20"/>
        </w:rPr>
        <w:t xml:space="preserve">” means all fees and expenses incurred by any Issuer in connection with its obligations pursuant to </w:t>
      </w:r>
      <w:r>
        <w:rPr>
          <w:rFonts w:ascii="Times New Roman" w:hAnsi="Times New Roman"/>
          <w:b/>
          <w:sz w:val="20"/>
        </w:rPr>
        <w:t>Section</w:t>
      </w:r>
      <w:r>
        <w:rPr>
          <w:rFonts w:ascii="Times New Roman" w:hAnsi="Times New Roman"/>
          <w:sz w:val="20"/>
        </w:rPr>
        <w:t xml:space="preserve"> 3 or </w:t>
      </w:r>
      <w:r>
        <w:rPr>
          <w:rFonts w:ascii="Times New Roman" w:hAnsi="Times New Roman"/>
          <w:b/>
          <w:sz w:val="20"/>
        </w:rPr>
        <w:t xml:space="preserve">5 </w:t>
      </w:r>
      <w:r>
        <w:rPr>
          <w:rFonts w:ascii="Times New Roman" w:hAnsi="Times New Roman"/>
          <w:sz w:val="20"/>
        </w:rPr>
        <w:t xml:space="preserve">(regardless of whether the Resale Registration Statement is filed or becomes effective under the Securities Act), including the following, to the extent applicable: (a) registration, qualification or filing fees of the SEC, the Financial Industry Regulatory Authority, Inc. or state securities or “blue sky”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agencies; (b) fees incurred in connection with the listing, or the maintaining of any listing, of any Registrable Securities on any national securities exchange or inter-dealer quotation system; (c) the fees and disbursements of counsel for any Issuer or of any independent accounting firm for any Issuer; and (d) the reasonable fees and out-of-pocket expenses, up to an aggregate of ten thousand dollars ($10,000), of a single Designated Holder Counsel incurred in connection with the Resale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Company Registration Expenses will not include (i) any fees, expenses or disbursements of any counsel for any Holder or for any Initial Purchaser, except fees and expenses of any such counsel that constitute Company Registration Expenses pursuant to clause (d) above; or (ii) any underwriting, brokerage or similar fees or discounts or selling commissions, or any stock transfer taxes (or any other taxes borne by any Holder), incurred in connection with the sale or other transfer of any Registrable Securities.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The Depository Trust Company or any other entity acting as securities depositary for any of the Registrable Securities. </w:t>
      </w:r>
    </w:p>
    <w:p>
      <w:pPr>
        <w:pStyle w:val="TextBody"/>
        <w:bidi w:val="0"/>
        <w:spacing w:before="240" w:after="0"/>
        <w:jc w:val="left"/>
        <w:rPr/>
      </w:pPr>
      <w:r>
        <w:rPr/>
        <w:t>“</w:t>
      </w:r>
      <w:r>
        <w:rPr>
          <w:rFonts w:ascii="Times New Roman" w:hAnsi="Times New Roman"/>
          <w:b/>
          <w:sz w:val="20"/>
        </w:rPr>
        <w:t>Designated Holder Counsel</w:t>
      </w:r>
      <w:r>
        <w:rPr>
          <w:rFonts w:ascii="Times New Roman" w:hAnsi="Times New Roman"/>
          <w:sz w:val="20"/>
        </w:rPr>
        <w:t xml:space="preserve">” means a single counsel, if any, that is designated and appointed, by one or more Notice Holders whose aggregate As-Exchanged Note Ownership Percentage exceeds fifty percent (50%) (with written notice of such designation and appointment to the Company by such Notice Holders), to serve as counsel for all Notice Holders in respect of the Resale Registration Statement.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has the meaning set forth in the Indenture. The terms “Exchanged,” “Exchanging,” “Exchangeable” and similar capitalized terms have meanings correlative to such meaning.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SEC thereunder. </w:t>
      </w:r>
    </w:p>
    <w:p>
      <w:pPr>
        <w:pStyle w:val="TextBody"/>
        <w:bidi w:val="0"/>
        <w:spacing w:before="240" w:after="0"/>
        <w:jc w:val="left"/>
        <w:rPr/>
      </w:pPr>
      <w:r>
        <w:rPr/>
        <w:t>“</w:t>
      </w:r>
      <w:r>
        <w:rPr>
          <w:rFonts w:ascii="Times New Roman" w:hAnsi="Times New Roman"/>
          <w:b/>
          <w:sz w:val="20"/>
        </w:rPr>
        <w:t>Exchange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Exchange Rate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Form S-3</w:t>
      </w:r>
      <w:r>
        <w:rPr>
          <w:rFonts w:ascii="Times New Roman" w:hAnsi="Times New Roman"/>
          <w:sz w:val="20"/>
        </w:rPr>
        <w:t xml:space="preserve">” means Form S-3 under the Securities Act, or any successor form thereto.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any Person that beneficially owns any Registrable Securities. For these purposes, a Person will be deemed to beneficially own any Registrable Securities issuable upon exchange of any other securities beneficially owned by such person. </w:t>
      </w:r>
    </w:p>
    <w:p>
      <w:pPr>
        <w:pStyle w:val="TextBody"/>
        <w:bidi w:val="0"/>
        <w:spacing w:before="240" w:after="0"/>
        <w:jc w:val="left"/>
        <w:rPr/>
      </w:pPr>
      <w:r>
        <w:rPr/>
        <w:t>“</w:t>
      </w:r>
      <w:r>
        <w:rPr>
          <w:rFonts w:ascii="Times New Roman" w:hAnsi="Times New Roman"/>
          <w:b/>
          <w:sz w:val="20"/>
        </w:rPr>
        <w:t>Holder Indemnified Person</w:t>
      </w:r>
      <w:r>
        <w:rPr>
          <w:rFonts w:ascii="Times New Roman" w:hAnsi="Times New Roman"/>
          <w:sz w:val="20"/>
        </w:rPr>
        <w:t xml:space="preserve">” means each of the following Persons: (a) any Notice Holder; (b) any Affiliate of any Notice Holder; (c) any partner, director, officer, member, stockholder, employee, advisor or other representative of any Notice Holder or its Affiliates; (d) each Person, if any, who controls any Notice Holder within the meaning of Section 15 of the Securities Act or Section 20 of the Exchange Act; and (e) each successor of the foregoing Persons. Solely for the purposes of this definition, each Initial Purchaser will be deemed to be a Notice Holder. </w:t>
      </w:r>
    </w:p>
    <w:p>
      <w:pPr>
        <w:pStyle w:val="TextBody"/>
        <w:bidi w:val="0"/>
        <w:spacing w:before="240" w:after="0"/>
        <w:jc w:val="left"/>
        <w:rPr/>
      </w:pPr>
      <w:r>
        <w:rPr/>
        <w:t>“</w:t>
      </w:r>
      <w:r>
        <w:rPr>
          <w:rFonts w:ascii="Times New Roman" w:hAnsi="Times New Roman"/>
          <w:b/>
          <w:sz w:val="20"/>
        </w:rPr>
        <w:t>Holder Information</w:t>
      </w:r>
      <w:r>
        <w:rPr>
          <w:rFonts w:ascii="Times New Roman" w:hAnsi="Times New Roman"/>
          <w:sz w:val="20"/>
        </w:rPr>
        <w:t xml:space="preserve">” means, with respect to any Holder, any information furnished in writing by or on behalf of such Holder to the Company expressly for use in any Resale Registration Statement Document (including information in any Notice and Questionnaire delivered by such Holder to the Company). </w:t>
      </w:r>
    </w:p>
    <w:p>
      <w:pPr>
        <w:pStyle w:val="TextBody"/>
        <w:bidi w:val="0"/>
        <w:spacing w:before="240" w:after="0"/>
        <w:jc w:val="left"/>
        <w:rPr/>
      </w:pPr>
      <w:r>
        <w:rPr/>
        <w:t>“</w:t>
      </w:r>
      <w:r>
        <w:rPr>
          <w:rFonts w:ascii="Times New Roman" w:hAnsi="Times New Roman"/>
          <w:b/>
          <w:sz w:val="20"/>
        </w:rPr>
        <w:t>Indemnified Person</w:t>
      </w:r>
      <w:r>
        <w:rPr>
          <w:rFonts w:ascii="Times New Roman" w:hAnsi="Times New Roman"/>
          <w:sz w:val="20"/>
        </w:rPr>
        <w:t xml:space="preserve">” means any Company Indemnified Person or Holder Indemnified Person. </w:t>
      </w:r>
    </w:p>
    <w:p>
      <w:pPr>
        <w:pStyle w:val="TextBody"/>
        <w:bidi w:val="0"/>
        <w:spacing w:before="240" w:after="0"/>
        <w:jc w:val="left"/>
        <w:rPr/>
      </w:pPr>
      <w:r>
        <w:rPr/>
        <w:t>“</w:t>
      </w:r>
      <w:r>
        <w:rPr>
          <w:rFonts w:ascii="Times New Roman" w:hAnsi="Times New Roman"/>
          <w:b/>
          <w:sz w:val="20"/>
        </w:rPr>
        <w:t>Indemnifying Party</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that certain indenture, dated as of September 17, 2026, among the Issuers and the Trustee, as such indenture may be amended from time to time. </w:t>
      </w:r>
    </w:p>
    <w:p>
      <w:pPr>
        <w:pStyle w:val="TextBody"/>
        <w:bidi w:val="0"/>
        <w:spacing w:before="240" w:after="0"/>
        <w:jc w:val="left"/>
        <w:rPr/>
      </w:pPr>
      <w:r>
        <w:rPr/>
        <w:t>“</w:t>
      </w:r>
      <w:r>
        <w:rPr>
          <w:rFonts w:ascii="Times New Roman" w:hAnsi="Times New Roman"/>
          <w:b/>
          <w:sz w:val="20"/>
        </w:rPr>
        <w:t>Initial Notes</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Initial Notice and Questionnaire Deadline Date</w:t>
      </w:r>
      <w:r>
        <w:rPr>
          <w:rFonts w:ascii="Times New Roman" w:hAnsi="Times New Roman"/>
          <w:sz w:val="20"/>
        </w:rPr>
        <w:t xml:space="preserve">” means the date that is ten (10) calendar days before the first date that the initial Resale Registration Statement becomes effective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Initial Purchasers</w:t>
      </w:r>
      <w:r>
        <w:rPr>
          <w:rFonts w:ascii="Times New Roman" w:hAnsi="Times New Roman"/>
          <w:sz w:val="20"/>
        </w:rPr>
        <w:t xml:space="preserve">” means the several initial purchasers listed in Schedule 1 to the Purchase Agreement. </w:t>
      </w:r>
    </w:p>
    <w:p>
      <w:pPr>
        <w:pStyle w:val="TextBody"/>
        <w:bidi w:val="0"/>
        <w:spacing w:before="240" w:after="0"/>
        <w:jc w:val="left"/>
        <w:rPr/>
      </w:pPr>
      <w:r>
        <w:rPr/>
        <w:t>“</w:t>
      </w:r>
      <w:r>
        <w:rPr>
          <w:rFonts w:ascii="Times New Roman" w:hAnsi="Times New Roman"/>
          <w:b/>
          <w:sz w:val="20"/>
        </w:rPr>
        <w:t>Issue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Issuers</w:t>
      </w:r>
      <w:r>
        <w:rPr>
          <w:rFonts w:ascii="Times New Roman" w:hAnsi="Times New Roman"/>
          <w:sz w:val="20"/>
        </w:rPr>
        <w:t xml:space="preserve">” means the Company and the Parent Guarantor.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means any loss, damage, expense, liability or claim (including reasonable costs of investigating or defending, and reasonable attorney’s fees and disbursements in connection with, the same). </w:t>
      </w:r>
    </w:p>
    <w:p>
      <w:pPr>
        <w:pStyle w:val="TextBody"/>
        <w:bidi w:val="0"/>
        <w:spacing w:before="240" w:after="0"/>
        <w:jc w:val="left"/>
        <w:rPr/>
      </w:pPr>
      <w:r>
        <w:rPr/>
        <w:t>“</w:t>
      </w:r>
      <w:r>
        <w:rPr>
          <w:rFonts w:ascii="Times New Roman" w:hAnsi="Times New Roman"/>
          <w:b/>
          <w:sz w:val="20"/>
        </w:rPr>
        <w:t>Material Disclosure Defect</w:t>
      </w:r>
      <w:r>
        <w:rPr>
          <w:rFonts w:ascii="Times New Roman" w:hAnsi="Times New Roman"/>
          <w:sz w:val="20"/>
        </w:rPr>
        <w:t xml:space="preserve">” has the following meaning with respect to any document: (a) if such document is of the type as to which the provisions of Section 11 of the Securities Act are applicable, that such document contains an untrue statement of a material fact or omits to state a material fact required to be stated therein or necessary to make the statements therein not misleading; and (b) in all other cases, that such document includes an untrue statement of a material fact or omits to state a material fact necessary in order to make the statements therein, in the light of the circumstances under which they were made, not misleading.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Maturity Premium</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Notice and Questionnaire</w:t>
      </w:r>
      <w:r>
        <w:rPr>
          <w:rFonts w:ascii="Times New Roman" w:hAnsi="Times New Roman"/>
          <w:sz w:val="20"/>
        </w:rPr>
        <w:t xml:space="preserve">” means a duly completed and executed Notice and Questionnaire substantially in the form set forth in </w:t>
      </w:r>
      <w:r>
        <w:rPr>
          <w:rFonts w:ascii="Times New Roman" w:hAnsi="Times New Roman"/>
          <w:b/>
          <w:sz w:val="20"/>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Holder</w:t>
      </w:r>
      <w:r>
        <w:rPr>
          <w:rFonts w:ascii="Times New Roman" w:hAnsi="Times New Roman"/>
          <w:sz w:val="20"/>
        </w:rPr>
        <w:t xml:space="preserve">” means,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a Holder that has delivered a Notice and Questionnaire to the Company. </w:t>
      </w:r>
    </w:p>
    <w:p>
      <w:pPr>
        <w:pStyle w:val="TextBody"/>
        <w:bidi w:val="0"/>
        <w:spacing w:before="240" w:after="0"/>
        <w:jc w:val="left"/>
        <w:rPr/>
      </w:pPr>
      <w:r>
        <w:rPr/>
        <w:t>“</w:t>
      </w:r>
      <w:r>
        <w:rPr>
          <w:rFonts w:ascii="Times New Roman" w:hAnsi="Times New Roman"/>
          <w:b/>
          <w:sz w:val="20"/>
        </w:rPr>
        <w:t>Parent Guarantor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rPr>
        <w:t>Permitted Blackout Period Extension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Agreement. </w:t>
      </w:r>
    </w:p>
    <w:p>
      <w:pPr>
        <w:pStyle w:val="TextBody"/>
        <w:bidi w:val="0"/>
        <w:spacing w:before="240" w:after="0"/>
        <w:jc w:val="left"/>
        <w:rPr/>
      </w:pPr>
      <w:r>
        <w:rPr/>
        <w:t>“</w:t>
      </w:r>
      <w:r>
        <w:rPr>
          <w:rFonts w:ascii="Times New Roman" w:hAnsi="Times New Roman"/>
          <w:b/>
          <w:sz w:val="20"/>
        </w:rPr>
        <w:t>Proceeding</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as of September 14, 2026, among the Company, the Parent Guarantor and the representatives of the Initial Purchasers.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Registrable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(i) the Common Stock or other securities issued or issuable (including following a Common Stock Change Event) upon Exchange of the Initial Notes; and </w:t>
      </w:r>
    </w:p>
    <w:p>
      <w:pPr>
        <w:pStyle w:val="TextBody"/>
        <w:bidi w:val="0"/>
        <w:spacing w:before="120" w:after="0"/>
        <w:jc w:val="left"/>
        <w:rPr>
          <w:rFonts w:ascii="Times New Roman" w:hAnsi="Times New Roman"/>
          <w:sz w:val="20"/>
        </w:rPr>
      </w:pPr>
      <w:r>
        <w:rPr>
          <w:rFonts w:ascii="Times New Roman" w:hAnsi="Times New Roman"/>
          <w:sz w:val="20"/>
        </w:rPr>
        <w:t xml:space="preserve">(ii) any securities issued, distributed or otherwise delivered with respect to any security referred to in </w:t>
      </w:r>
      <w:r>
        <w:rPr>
          <w:rFonts w:ascii="Times New Roman" w:hAnsi="Times New Roman"/>
          <w:b/>
          <w:sz w:val="20"/>
        </w:rPr>
        <w:t>clause (i)</w:t>
      </w:r>
      <w:r>
        <w:rPr>
          <w:rFonts w:ascii="Times New Roman" w:hAnsi="Times New Roman"/>
          <w:sz w:val="20"/>
        </w:rPr>
        <w:t xml:space="preserve"> above upon any stock dividend, combination or split or other similar event or in connection with a Common Stock Change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security described in clause (i) or (ii) above will cease to be a Registrable Security upon the earliest to occur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1. after such security referred to in clause (i) above is issued upon Exchange of the Initial Notes or after such security referred to in clause (ii) above is issued, distributed or otherwise delivered with respect to any security referred to in clause (i) above upon any stock dividend, combination or split or other similar event or in connection with a Common Stock Change Event, such security (x) would be eligible to be offered, sold or otherwise transferred pursuant to Rule 144 if held by a Person that is not an Affiliate of the issuer of such security, and that has not been an Affiliate of such issuer during the immediately preceding three (3) months, without any requirements as to volume, manner of sale, availability of current public information (whether or not then satisfied) or notice under the Securities Act; (y) is not identified by a “restricted” CUSIP or ISIN number; and (z) is not represented by any certificate that bears a Restricted Security Legend; </w:t>
      </w:r>
    </w:p>
    <w:p>
      <w:pPr>
        <w:pStyle w:val="TextBody"/>
        <w:bidi w:val="0"/>
        <w:spacing w:before="120" w:after="0"/>
        <w:jc w:val="left"/>
        <w:rPr>
          <w:rFonts w:ascii="Times New Roman" w:hAnsi="Times New Roman"/>
          <w:sz w:val="20"/>
        </w:rPr>
      </w:pPr>
      <w:r>
        <w:rPr>
          <w:rFonts w:ascii="Times New Roman" w:hAnsi="Times New Roman"/>
          <w:sz w:val="20"/>
        </w:rPr>
        <w:t xml:space="preserve">2. such security ceases to be outstanding (or potentially issuable upon Exchange of any outstanding Initial Note); and </w:t>
      </w:r>
    </w:p>
    <w:p>
      <w:pPr>
        <w:pStyle w:val="TextBody"/>
        <w:bidi w:val="0"/>
        <w:spacing w:before="120" w:after="0"/>
        <w:jc w:val="left"/>
        <w:rPr>
          <w:rFonts w:ascii="Times New Roman" w:hAnsi="Times New Roman"/>
          <w:sz w:val="20"/>
        </w:rPr>
      </w:pPr>
      <w:r>
        <w:rPr>
          <w:rFonts w:ascii="Times New Roman" w:hAnsi="Times New Roman"/>
          <w:sz w:val="20"/>
        </w:rPr>
        <w:t xml:space="preserve">3. such security (x) is sold or otherwise transferred in a transaction (including, for the avoidance of doubt, a transaction that is registered under the Securities Act) following which such security ceases to be a “restricted security” (as defined in Rule 144); (y) is not identified by a “restricted” CUSIP or ISIN number; and (z) is not represented by any certificate that bears a Restricted Security Legend. </w:t>
      </w:r>
    </w:p>
    <w:p>
      <w:pPr>
        <w:pStyle w:val="TextBody"/>
        <w:bidi w:val="0"/>
        <w:spacing w:before="240" w:after="0"/>
        <w:jc w:val="left"/>
        <w:rPr>
          <w:rFonts w:ascii="Times New Roman" w:hAnsi="Times New Roman"/>
          <w:sz w:val="20"/>
        </w:rPr>
      </w:pPr>
      <w:r>
        <w:rPr>
          <w:rFonts w:ascii="Times New Roman" w:hAnsi="Times New Roman"/>
          <w:sz w:val="20"/>
        </w:rPr>
        <w:t xml:space="preserve">Furthermore, a security described in clause (i) or (ii) above will not be a Registrable Security during any 3(a)(9)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references to Registrable Securities consisting of Common Stock “issuable” upon Exchange of any Initial Note will include shares of Common Stock potentially issuable thereupon at the then-applicable Exchange Rate (that is, a number of shares of Common Stock equal to the product of the principal amount (expressed in thousands) of such Initial Note and the then-applicable Exchange Rate). </w:t>
      </w:r>
    </w:p>
    <w:p>
      <w:pPr>
        <w:pStyle w:val="TextBody"/>
        <w:bidi w:val="0"/>
        <w:spacing w:before="240" w:after="0"/>
        <w:jc w:val="left"/>
        <w:rPr/>
      </w:pPr>
      <w:r>
        <w:rPr/>
        <w:t>“</w:t>
      </w:r>
      <w:r>
        <w:rPr>
          <w:rFonts w:ascii="Times New Roman" w:hAnsi="Times New Roman"/>
          <w:b/>
          <w:sz w:val="20"/>
        </w:rPr>
        <w:t>Registration Default Event</w:t>
      </w:r>
      <w:r>
        <w:rPr>
          <w:rFonts w:ascii="Times New Roman" w:hAnsi="Times New Roman"/>
          <w:sz w:val="20"/>
        </w:rPr>
        <w:t xml:space="preserve">” means any event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7(a)(i)</w:t>
      </w:r>
      <w:r>
        <w:rPr>
          <w:rFonts w:ascii="Times New Roman" w:hAnsi="Times New Roman"/>
          <w:sz w:val="20"/>
        </w:rPr>
        <w:t xml:space="preserve"> that gives rise to the accrual of any Additional Interest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Resale Registration Statement</w:t>
      </w:r>
      <w:r>
        <w:rPr>
          <w:rFonts w:ascii="Times New Roman" w:hAnsi="Times New Roman"/>
          <w:sz w:val="20"/>
        </w:rPr>
        <w:t xml:space="preserve">” means each registration statement under the Securities Act that is filed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for the purposes set forth therein. </w:t>
      </w:r>
    </w:p>
    <w:p>
      <w:pPr>
        <w:pStyle w:val="TextBody"/>
        <w:bidi w:val="0"/>
        <w:spacing w:before="240" w:after="0"/>
        <w:jc w:val="left"/>
        <w:rPr/>
      </w:pPr>
      <w:r>
        <w:rPr/>
        <w:t>“</w:t>
      </w:r>
      <w:r>
        <w:rPr>
          <w:rFonts w:ascii="Times New Roman" w:hAnsi="Times New Roman"/>
          <w:b/>
          <w:sz w:val="20"/>
        </w:rPr>
        <w:t>Resale Registration Statement Documents</w:t>
      </w:r>
      <w:r>
        <w:rPr>
          <w:rFonts w:ascii="Times New Roman" w:hAnsi="Times New Roman"/>
          <w:sz w:val="20"/>
        </w:rPr>
        <w:t xml:space="preserve">” means any Resale Registration Statement, all pre- and post-effective amendments thereto, the related prospectus (including any preliminary prospectus), all supplements to such prospectus (including any preliminary prospectus supplements), the documents incorporated by reference in any of the foregoing and each related “issuer free writing prospectus” (as defined in Rule 433 under the Securities Act). </w:t>
      </w:r>
    </w:p>
    <w:p>
      <w:pPr>
        <w:pStyle w:val="TextBody"/>
        <w:bidi w:val="0"/>
        <w:spacing w:before="240" w:after="0"/>
        <w:jc w:val="left"/>
        <w:rPr/>
      </w:pPr>
      <w:r>
        <w:rPr/>
        <w:t>“</w:t>
      </w:r>
      <w:r>
        <w:rPr>
          <w:rFonts w:ascii="Times New Roman" w:hAnsi="Times New Roman"/>
          <w:b/>
          <w:sz w:val="20"/>
        </w:rPr>
        <w:t>Resale Registration Statement Effectiveness Deadline Date</w:t>
      </w:r>
      <w:r>
        <w:rPr>
          <w:rFonts w:ascii="Times New Roman" w:hAnsi="Times New Roman"/>
          <w:sz w:val="20"/>
        </w:rPr>
        <w:t xml:space="preserve">” means the date that is one hundred eighty (180) days after the Issue Date. Notwithstanding anything to the contrary in the preceding sentence, if the Parent Guarantor (whether directly or indirectly through one or more of its subsidiaries) has completed a Significant Acquisition and has not filed the financial statements required by Regulation S-X under the Exchange Act for such Significant Acquisition with the SEC by the date that would be the Resale Registration Statement Effectiveness Deadline Date pursuant to the preceding sentence, then the Resale Registration Statement Effectiveness Deadline Date will instead be the earlier of (a) the two hundred tenth (210th) day after the Issue Date; and (b) the thirtieth (30th) calendar day after the date such financial statements are first filed (or, if earlier, are required to be filed) with the SEC. </w:t>
      </w:r>
    </w:p>
    <w:p>
      <w:pPr>
        <w:pStyle w:val="TextBody"/>
        <w:bidi w:val="0"/>
        <w:spacing w:before="240" w:after="0"/>
        <w:jc w:val="left"/>
        <w:rPr/>
      </w:pPr>
      <w:r>
        <w:rPr/>
        <w:t>“</w:t>
      </w:r>
      <w:r>
        <w:rPr>
          <w:rFonts w:ascii="Times New Roman" w:hAnsi="Times New Roman"/>
          <w:b/>
          <w:sz w:val="20"/>
        </w:rPr>
        <w:t>Resale Registration Statement Effectiveness Period</w:t>
      </w:r>
      <w:r>
        <w:rPr>
          <w:rFonts w:ascii="Times New Roman" w:hAnsi="Times New Roman"/>
          <w:sz w:val="20"/>
        </w:rPr>
        <w:t xml:space="preserve">” means the period that (a) begins on, and includes, the earlier of (i) the Resale Registration Statement Effectiveness Deadline Date; and (ii) the first date the Resale Registration Statement is effective under the Securities Act; and (b) ends on, and includes, the earlier of (i) the date that is forty (40) Trading Days after the earlier of (x) the Maturity Date and (y) the first date when no Initial Notes are outstanding; and (ii) the first date when no securities described in clause (i) or (ii) of the definition of “Registrable Securities” are outstanding (or potentially issuable upon Exchange of any outstanding Initial Note), other than securities that are temporarily not Registrable Securities solely by reason of a 3(a)(9)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during the period from the Maturity Date (or, if earlier, the first date when no Initial Notes are outstanding) to the date referred to in </w:t>
      </w:r>
      <w:r>
        <w:rPr>
          <w:rFonts w:ascii="Times New Roman" w:hAnsi="Times New Roman"/>
          <w:b/>
          <w:sz w:val="20"/>
        </w:rPr>
        <w:t>clause (b)(i)</w:t>
      </w:r>
      <w:r>
        <w:rPr>
          <w:rFonts w:ascii="Times New Roman" w:hAnsi="Times New Roman"/>
          <w:sz w:val="20"/>
        </w:rPr>
        <w:t xml:space="preserve">, the Resale Registration Statement fails to be effective or usable for the resale or other transfer of Registrable Securities under the Securities Act, then the last date referred to in </w:t>
      </w:r>
      <w:r>
        <w:rPr>
          <w:rFonts w:ascii="Times New Roman" w:hAnsi="Times New Roman"/>
          <w:b/>
          <w:sz w:val="20"/>
        </w:rPr>
        <w:t>clause (b)(i)</w:t>
      </w:r>
      <w:r>
        <w:rPr>
          <w:rFonts w:ascii="Times New Roman" w:hAnsi="Times New Roman"/>
          <w:sz w:val="20"/>
        </w:rPr>
        <w:t xml:space="preserve"> will be extended by the total number of Trading Days on which such failure has occurred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Restricted Security Legend</w:t>
      </w:r>
      <w:r>
        <w:rPr>
          <w:rFonts w:ascii="Times New Roman" w:hAnsi="Times New Roman"/>
          <w:sz w:val="20"/>
        </w:rPr>
        <w:t xml:space="preserve">” means, with respect to any security, a legend substantially to the effect that the offer and sale of such security have not been registered under the Securities Act and that such security cannot be sold or otherwise transferred except pursuant to a transaction that is registered under the Securities Act or that is exempt from, or not subject to, the registration requirements of the Securities Act.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under the Securities Act (or any successor rule thereto). </w:t>
      </w:r>
    </w:p>
    <w:p>
      <w:pPr>
        <w:pStyle w:val="TextBody"/>
        <w:bidi w:val="0"/>
        <w:spacing w:before="240" w:after="0"/>
        <w:jc w:val="left"/>
        <w:rPr/>
      </w:pPr>
      <w:r>
        <w:rPr/>
        <w:t>“</w:t>
      </w:r>
      <w:r>
        <w:rPr>
          <w:rFonts w:ascii="Times New Roman" w:hAnsi="Times New Roman"/>
          <w:b/>
          <w:sz w:val="20"/>
        </w:rPr>
        <w:t>Rule 415</w:t>
      </w:r>
      <w:r>
        <w:rPr>
          <w:rFonts w:ascii="Times New Roman" w:hAnsi="Times New Roman"/>
          <w:sz w:val="20"/>
        </w:rPr>
        <w:t xml:space="preserve">” means Rule 415 under the Securities Act (or any successor rule thereto).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SEC thereunder. </w:t>
      </w:r>
    </w:p>
    <w:p>
      <w:pPr>
        <w:pStyle w:val="TextBody"/>
        <w:bidi w:val="0"/>
        <w:spacing w:before="240" w:after="0"/>
        <w:jc w:val="left"/>
        <w:rPr/>
      </w:pPr>
      <w:r>
        <w:rPr/>
        <w:t>“</w:t>
      </w:r>
      <w:r>
        <w:rPr>
          <w:rFonts w:ascii="Times New Roman" w:hAnsi="Times New Roman"/>
          <w:b/>
          <w:sz w:val="20"/>
        </w:rPr>
        <w:t>Significant Acquisition</w:t>
      </w:r>
      <w:r>
        <w:rPr>
          <w:rFonts w:ascii="Times New Roman" w:hAnsi="Times New Roman"/>
          <w:sz w:val="20"/>
        </w:rPr>
        <w:t xml:space="preserve">” means the acquisition by the Parent Guarantor (whether directly or indirectly through one or more of its subsidiaries) of a business or Person, which acquisition requires the filing, with the SEC, of financial statements of such business or Person pursuant to Regulation S-X under the Exchange Act, the omission of which financial statements from the Resale Registration Statement would, in the Parent Guarantor’s reasonable discretion, cause the Resale Registration Statement to contain a Material Disclosure Defect. </w:t>
      </w:r>
    </w:p>
    <w:p>
      <w:pPr>
        <w:pStyle w:val="TextBody"/>
        <w:bidi w:val="0"/>
        <w:spacing w:before="240" w:after="0"/>
        <w:jc w:val="left"/>
        <w:rPr/>
      </w:pPr>
      <w:r>
        <w:rPr/>
        <w:t>“</w:t>
      </w:r>
      <w:r>
        <w:rPr>
          <w:rFonts w:ascii="Times New Roman" w:hAnsi="Times New Roman"/>
          <w:b/>
          <w:sz w:val="20"/>
        </w:rPr>
        <w:t>Specified Courts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Subsequent Filing Deadline Date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has the meaning set forth in the Indenture.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has the meaning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RULES OF CONSTRUCTION</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or</w:t>
      </w:r>
      <w:r>
        <w:rPr>
          <w:rFonts w:ascii="Times New Roman" w:hAnsi="Times New Roman"/>
          <w:sz w:val="20"/>
        </w:rPr>
        <w:t xml:space="preserve">” </w:t>
      </w:r>
      <w:r>
        <w:rPr>
          <w:rFonts w:ascii="Times New Roman" w:hAnsi="Times New Roman"/>
          <w:i/>
          <w:sz w:val="20"/>
        </w:rPr>
        <w:t>is not exclusive;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including</w:t>
      </w:r>
      <w:r>
        <w:rPr>
          <w:rFonts w:ascii="Times New Roman" w:hAnsi="Times New Roman"/>
          <w:sz w:val="20"/>
        </w:rPr>
        <w:t xml:space="preserve">” </w:t>
      </w:r>
      <w:r>
        <w:rPr>
          <w:rFonts w:ascii="Times New Roman" w:hAnsi="Times New Roman"/>
          <w:i/>
          <w:sz w:val="20"/>
        </w:rPr>
        <w:t xml:space="preserve">means </w:t>
      </w:r>
      <w:r>
        <w:rPr>
          <w:rFonts w:ascii="Times New Roman" w:hAnsi="Times New Roman"/>
          <w:sz w:val="20"/>
        </w:rPr>
        <w:t>“</w:t>
      </w:r>
      <w:r>
        <w:rPr>
          <w:rFonts w:ascii="Times New Roman" w:hAnsi="Times New Roman"/>
          <w:i/>
          <w:sz w:val="20"/>
        </w:rPr>
        <w:t>including without limitation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will</w:t>
      </w:r>
      <w:r>
        <w:rPr>
          <w:rFonts w:ascii="Times New Roman" w:hAnsi="Times New Roman"/>
          <w:sz w:val="20"/>
        </w:rPr>
        <w:t xml:space="preserve">” </w:t>
      </w:r>
      <w:r>
        <w:rPr>
          <w:rFonts w:ascii="Times New Roman" w:hAnsi="Times New Roman"/>
          <w:i/>
          <w:sz w:val="20"/>
        </w:rPr>
        <w:t>expresses a command;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words in the singular include the plural and in the plural include the singular, unless the context requires otherwise;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herein,</w:t>
      </w:r>
      <w:r>
        <w:rPr>
          <w:rFonts w:ascii="Times New Roman" w:hAnsi="Times New Roman"/>
          <w:sz w:val="20"/>
        </w:rPr>
        <w:t>” “</w:t>
      </w:r>
      <w:r>
        <w:rPr>
          <w:rFonts w:ascii="Times New Roman" w:hAnsi="Times New Roman"/>
          <w:i/>
          <w:sz w:val="20"/>
        </w:rPr>
        <w:t>hereof</w:t>
      </w:r>
      <w:r>
        <w:rPr>
          <w:rFonts w:ascii="Times New Roman" w:hAnsi="Times New Roman"/>
          <w:sz w:val="20"/>
        </w:rPr>
        <w:t xml:space="preserve">” </w:t>
      </w:r>
      <w:r>
        <w:rPr>
          <w:rFonts w:ascii="Times New Roman" w:hAnsi="Times New Roman"/>
          <w:i/>
          <w:sz w:val="20"/>
        </w:rPr>
        <w:t>and other words of similar import refer to this Agreement as a whole and not to any particular Section or other subdivision of this Agreement, unless the context requires otherwise;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references to currency mean the lawful currency of the United States of America, unless the context requires otherwise;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the exhibits, schedules and other attachments to this Agreement are deemed to form part of this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RESALE REGISTRATION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and Effectiveness of Resale Registration Statement</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Parent Guarantor will (i) prepare and file a Resale Registration Statement with the SEC; and (ii) use commercially reasonable efforts to cause such Resale Registration Statement to (x) become effective under the Securities Act no later than the Resale Registration Statement Effectiveness Deadline Date, and (y) remain continuously effective, and usable for the resale or other transfer of Registrable Securities, under the Securities Act throughout the Resale Registration Statement Effectiveness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Contents of and Requirements for Resale Registration Statement</w:t>
      </w:r>
      <w:r>
        <w:rPr>
          <w:rFonts w:ascii="Times New Roman" w:hAnsi="Times New Roman"/>
          <w:sz w:val="20"/>
        </w:rPr>
        <w:t xml:space="preserve">. The Parent Guarantor will cause the Resale Registration Statement to satisfy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Registration for Continuous Resale by Holders Under Rule 415</w:t>
      </w:r>
      <w:r>
        <w:rPr>
          <w:rFonts w:ascii="Times New Roman" w:hAnsi="Times New Roman"/>
          <w:sz w:val="20"/>
        </w:rPr>
        <w:t xml:space="preserve">. The Resale Registration Statement will register, under the Securities Act, the offer and resale, from time to time on a continuous basis under Rule 415, of Registrable Securities by the Holders thereof as provided in </w:t>
      </w:r>
      <w:r>
        <w:rPr>
          <w:rFonts w:ascii="Times New Roman" w:hAnsi="Times New Roman"/>
          <w:b/>
          <w:sz w:val="20"/>
        </w:rPr>
        <w:t>Sections 3(b)(ii)</w:t>
      </w:r>
      <w:r>
        <w:rPr>
          <w:rFonts w:ascii="Times New Roman" w:hAnsi="Times New Roman"/>
          <w:sz w:val="20"/>
        </w:rPr>
        <w:t xml:space="preserve"> and </w:t>
      </w:r>
      <w:r>
        <w:rPr>
          <w:rFonts w:ascii="Times New Roman" w:hAnsi="Times New Roman"/>
          <w:b/>
          <w:sz w:val="20"/>
        </w:rPr>
        <w:t>3(c)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Selling Securityholder Information</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when it first becomes effective under the Securities Act, the Resale Registration Statement will cover resales of Registrable Securities of Notice Holders identified in all Notice and Questionnaires delivered to the Company on or before the Initial Notice and Questionnaire Deadline Date.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Plan of Distribution</w:t>
      </w:r>
      <w:r>
        <w:rPr>
          <w:rFonts w:ascii="Times New Roman" w:hAnsi="Times New Roman"/>
          <w:sz w:val="20"/>
        </w:rPr>
        <w:t xml:space="preserve">. The Resale Registration Statement will provide for a plan of distribution in customary form for resale registration statements of the type contemplated by this Agreement (including coverage for market transactions on a national securities exchange, privately negotiated transactions and transactions through broker-dealers acting as agent or principal) and, in any event, will cover transactions contemplated by Item 6 of </w:t>
      </w:r>
      <w:r>
        <w:rPr>
          <w:rFonts w:ascii="Times New Roman" w:hAnsi="Times New Roman"/>
          <w:b/>
          <w:sz w:val="20"/>
        </w:rPr>
        <w:t>Exhibit A</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any such plan of distribution include an underwritten public offering by one or more registered broker-dealers without the Parent Guarantor’s prior consent (which may be granted, with or without conditions, or withheld in its sole and absolute discretion).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Form S-3</w:t>
      </w:r>
      <w:r>
        <w:rPr>
          <w:rFonts w:ascii="Times New Roman" w:hAnsi="Times New Roman"/>
          <w:sz w:val="20"/>
        </w:rPr>
        <w:t xml:space="preserve">. If the resales contemplated by the Resale Registration Statement are then eligible to be registered on Form S-3, then the Resale Registration Statement will be on such Form S-3.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Obligation to Make Filings to Name Additional Notice Holders</w:t>
      </w:r>
      <w:r>
        <w:rPr>
          <w:rFonts w:ascii="Times New Roman" w:hAnsi="Times New Roman"/>
          <w:sz w:val="20"/>
        </w:rPr>
        <w:t xml:space="preserve">. If any Holder delivers a Notice and Questionnaire to the Company after the Initial Notice and Questionnaire Deadline Date, then,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and the other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the Parent Guarantor will use commercially reasonable efforts during the Resale Registration Statement Effectiveness Period to (i) make such filing(s) with the SEC (including, if applicable, (w) a post-effective amendment, (x) a prospectus supplement, (y) any document that will be incorporated by reference in the Resale Registration Statement upon its filing or (z) a new Resale Registration Statement, </w:t>
      </w:r>
      <w:r>
        <w:rPr>
          <w:rFonts w:ascii="Times New Roman" w:hAnsi="Times New Roman"/>
          <w:i/>
          <w:sz w:val="20"/>
        </w:rPr>
        <w:t>provided</w:t>
      </w:r>
      <w:r>
        <w:rPr>
          <w:rFonts w:ascii="Times New Roman" w:hAnsi="Times New Roman"/>
          <w:sz w:val="20"/>
        </w:rPr>
        <w:t xml:space="preserve"> that the Parent Guarantor will effect such filing by means of a prospectus supplement or a document referred to in the preceding </w:t>
      </w:r>
      <w:r>
        <w:rPr>
          <w:rFonts w:ascii="Times New Roman" w:hAnsi="Times New Roman"/>
          <w:b/>
          <w:sz w:val="20"/>
        </w:rPr>
        <w:t>clause (y)</w:t>
      </w:r>
      <w:r>
        <w:rPr>
          <w:rFonts w:ascii="Times New Roman" w:hAnsi="Times New Roman"/>
          <w:sz w:val="20"/>
        </w:rPr>
        <w:t xml:space="preserve"> instead of a post-effective amendment or a new Resale Registration Statement, if then permitted by the rules of the SEC) on or before the Subsequent Filing Deadline Date for such Notice and Questionnaire so as to enable such Holder to sell or otherwise transfer such Holder’s Registrable Securities identified in such Notice and Questionnaire pursuant to the applicable Resale Registration Statement and the related prospectus and, if applicable, prospectus supplement in accordance with the plan of distribution set forth therein; and (ii) in the case of a post-effective amendment or a new Resale Registration Statement, cause the same to become effective under the Securities Act as soon as reasonably practicable;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no such filing will be required outside the Resale Registration Statement Effectiveness Period. For these purposes, “</w:t>
      </w:r>
      <w:r>
        <w:rPr>
          <w:rFonts w:ascii="Times New Roman" w:hAnsi="Times New Roman"/>
          <w:b/>
          <w:sz w:val="20"/>
        </w:rPr>
        <w:t>Subsequent Filing Deadline Date</w:t>
      </w:r>
      <w:r>
        <w:rPr>
          <w:rFonts w:ascii="Times New Roman" w:hAnsi="Times New Roman"/>
          <w:sz w:val="20"/>
        </w:rPr>
        <w:t xml:space="preserve">” has the following meaning: </w:t>
      </w:r>
    </w:p>
    <w:p>
      <w:pPr>
        <w:pStyle w:val="TextBody"/>
        <w:bidi w:val="0"/>
        <w:spacing w:before="120" w:after="0"/>
        <w:jc w:val="left"/>
        <w:rPr>
          <w:rFonts w:ascii="Times New Roman" w:hAnsi="Times New Roman"/>
          <w:sz w:val="20"/>
        </w:rPr>
      </w:pPr>
      <w:r>
        <w:rPr>
          <w:rFonts w:ascii="Times New Roman" w:hAnsi="Times New Roman"/>
          <w:sz w:val="20"/>
        </w:rPr>
        <w:t xml:space="preserve">(i) if such Notice and Questionnaire is so delivered on or after a Redemption Notice Date and on or before the related Redemption Date, or on or after an Exchange Date for the Exchange of an Initial Note and on or before the last date by which such Exchange is required to be settled pursuant to the Indenture, then the Subsequent Filing Deadline Date for such Notice and Questionnaire will be the fifth (5th) Business Day after such Redemption Date or last date, as applicable;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all other cases, the Subsequent Filing Deadline Date for such Notice and Questionnaire will be the fifth (5th) Business Day of the calendar month referred to in the applicable following clause: (1) if such Notice and Questionnaire is so delivered on or before the twentieth (20th) calendar day of any calendar month, the calendar month following the calendar month of such delivery; or (2) if such Notice and Questionnaire is so delivered after the twentieth (20th) calendar day of any calendar month, the second (2nd) calendar month following the calendar month of such delivery;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if, in the reasonable judgment of the Parent Guarantor, such filing(s) must consist of, or include, a new Resale Registration Statement or a post-effective amendment to the then-current Resale Registration Statement, then the Subsequent Filing Deadline Date for such Notice and Questionnaire will be the ninetieth (90th) calendar day after the date on which such Notice and Questionnaire is so delivered (or, if later, the date that is six (6) months after the last date, if any, on which the Parent Guarantor previously filed a new Resale Registration Statement pursuant to this Agreement); </w:t>
      </w:r>
      <w:r>
        <w:rPr>
          <w:rFonts w:ascii="Times New Roman" w:hAnsi="Times New Roman"/>
          <w:i/>
          <w:sz w:val="20"/>
        </w:rPr>
        <w:t>provided</w:t>
      </w:r>
      <w:r>
        <w:rPr>
          <w:rFonts w:ascii="Times New Roman" w:hAnsi="Times New Roman"/>
          <w:sz w:val="20"/>
        </w:rPr>
        <w:t xml:space="preserve">, that if the Parent Guarantor (whether directly or indirectly through one or more of its subsidiaries) has completed a Significant Acquisition and has not filed the financial statements required by Regulation S-X under the Exchange Act for such Significant Acquisition with the SEC by the Subsequent Filing Deadline Date referred to above in this </w:t>
      </w:r>
      <w:r>
        <w:rPr>
          <w:rFonts w:ascii="Times New Roman" w:hAnsi="Times New Roman"/>
          <w:b/>
          <w:sz w:val="20"/>
        </w:rPr>
        <w:t>clause (x)</w:t>
      </w:r>
      <w:r>
        <w:rPr>
          <w:rFonts w:ascii="Times New Roman" w:hAnsi="Times New Roman"/>
          <w:sz w:val="20"/>
        </w:rPr>
        <w:t xml:space="preserve">, then such Subsequent Filing Deadline Date will instead be the thirtieth (30th) calendar day after the date such financial statements are first filed (or, if earlier, are required to be filed) with the SEC; and (y) in all cases, if such Notice and Questionnaire is so delivered during a Blackout Period, then the Subsequent Filing Deadline Date will be determined assuming that such delivery were instead made on the first calendar day after the termination of such Blackout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Filing of New Resale Registration Statement; Designation of Existing Registration Statement</w:t>
      </w:r>
      <w:r>
        <w:rPr>
          <w:rFonts w:ascii="Times New Roman" w:hAnsi="Times New Roman"/>
          <w:sz w:val="20"/>
        </w:rPr>
        <w:t xml:space="preserve">. To the extent the Parent Guarantor deems doing so to be desirable or necessary to satisfy its obligations under this Agreement or to comply with applicable law (including, if applicable, to comply with Rule 415(a)(5)), the Parent Guarantor may file one or more new Resale Registration Statements or designate an existing registration statement to constitute a Resale Registration Statement for purposes of this Agreement, </w:t>
      </w:r>
      <w:r>
        <w:rPr>
          <w:rFonts w:ascii="Times New Roman" w:hAnsi="Times New Roman"/>
          <w:i/>
          <w:sz w:val="20"/>
        </w:rPr>
        <w:t xml:space="preserve">provided </w:t>
      </w:r>
      <w:r>
        <w:rPr>
          <w:rFonts w:ascii="Times New Roman" w:hAnsi="Times New Roman"/>
          <w:sz w:val="20"/>
        </w:rPr>
        <w:t xml:space="preserve">that each such new Resale Registration Statement or existing registration statement satisfies the requirements of this Agreement. Each reference in this Agreement to the Resale Registration Statement will, if applicable, be deemed to include each such new Resale Registration Statement or existing registration statement, if any, </w:t>
      </w:r>
      <w:r>
        <w:rPr>
          <w:rFonts w:ascii="Times New Roman" w:hAnsi="Times New Roman"/>
          <w:i/>
          <w:sz w:val="20"/>
        </w:rPr>
        <w:t>mutatis mutandis</w:t>
      </w:r>
      <w:r>
        <w:rPr>
          <w:rFonts w:ascii="Times New Roman" w:hAnsi="Times New Roman"/>
          <w:sz w:val="20"/>
        </w:rPr>
        <w:t xml:space="preserve">. In addition, the first date any such existing registration statement is amended or supplemented to permit the offer and resale of Registrable Securities in the manner contemplated by this Agreement will be deemed,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5(e)</w:t>
      </w:r>
      <w:r>
        <w:rPr>
          <w:rFonts w:ascii="Times New Roman" w:hAnsi="Times New Roman"/>
          <w:sz w:val="20"/>
        </w:rPr>
        <w:t xml:space="preserve"> and any related definitions, to be the initial filing date of such existing registration statement, and the first date such amended or supplemented existing registration statement is effective under the Securities Act and permits such offers and resales will be deemed, for purposes of </w:t>
      </w:r>
      <w:r>
        <w:rPr>
          <w:rFonts w:ascii="Times New Roman" w:hAnsi="Times New Roman"/>
          <w:b/>
          <w:sz w:val="20"/>
        </w:rPr>
        <w:t>Sections 3(b)(ii)</w:t>
      </w:r>
      <w:r>
        <w:rPr>
          <w:rFonts w:ascii="Times New Roman" w:hAnsi="Times New Roman"/>
          <w:sz w:val="20"/>
        </w:rPr>
        <w:t xml:space="preserve">, </w:t>
      </w:r>
      <w:r>
        <w:rPr>
          <w:rFonts w:ascii="Times New Roman" w:hAnsi="Times New Roman"/>
          <w:b/>
          <w:sz w:val="20"/>
        </w:rPr>
        <w:t>3(c)</w:t>
      </w:r>
      <w:r>
        <w:rPr>
          <w:rFonts w:ascii="Times New Roman" w:hAnsi="Times New Roman"/>
          <w:sz w:val="20"/>
        </w:rPr>
        <w:t xml:space="preserve"> and </w:t>
      </w:r>
      <w:r>
        <w:rPr>
          <w:rFonts w:ascii="Times New Roman" w:hAnsi="Times New Roman"/>
          <w:b/>
          <w:sz w:val="20"/>
        </w:rPr>
        <w:t>5(e)</w:t>
      </w:r>
      <w:r>
        <w:rPr>
          <w:rFonts w:ascii="Times New Roman" w:hAnsi="Times New Roman"/>
          <w:sz w:val="20"/>
        </w:rPr>
        <w:t xml:space="preserve"> and any related definitions, to be the initial effective date of such existing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Where SEC Rules Do Not Require Naming Selling Securityholders</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if the applicable rules under the Securities Act, or interpretations thereof published by the staff of the SEC, are amended so as to permit Holders to resell their Registrable Securities pursuant to the Resale Registration Statement without being named as a selling securityholder therein or in any related prospectus or prospectus supplement, then the Parent Guarantor may, at its election, amend any applicable Resale Registration Statement Documents to identify the Holders generically in accordance with such rules and interpretations, in which event the Parent Guarantor will no longer have any obligation thereafter to make any filings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to the extent such filings are not necessary to permit any Holder to sell its Registrable Securities pursuant to the Resale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BLACKOUT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Notwithstanding anything to the contrary in this Agreement, but subject to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if there occurs or exists any pending corporate development, filing with the SEC or any other event, in each case that, in the Parent Guarantor’s reasonable judgment, makes it appropriate to suspend the availability of the Resale Registration Statement, then: </w:t>
      </w:r>
    </w:p>
    <w:p>
      <w:pPr>
        <w:pStyle w:val="TextBody"/>
        <w:bidi w:val="0"/>
        <w:spacing w:before="120" w:after="0"/>
        <w:jc w:val="left"/>
        <w:rPr>
          <w:rFonts w:ascii="Times New Roman" w:hAnsi="Times New Roman"/>
          <w:sz w:val="20"/>
        </w:rPr>
      </w:pPr>
      <w:r>
        <w:rPr>
          <w:rFonts w:ascii="Times New Roman" w:hAnsi="Times New Roman"/>
          <w:sz w:val="20"/>
        </w:rPr>
        <w:t>(i) the Parent Guarantor will send notice (a “</w:t>
      </w:r>
      <w:r>
        <w:rPr>
          <w:rFonts w:ascii="Times New Roman" w:hAnsi="Times New Roman"/>
          <w:b/>
          <w:sz w:val="20"/>
        </w:rPr>
        <w:t>Blackout Commencement Notice</w:t>
      </w:r>
      <w:r>
        <w:rPr>
          <w:rFonts w:ascii="Times New Roman" w:hAnsi="Times New Roman"/>
          <w:sz w:val="20"/>
        </w:rPr>
        <w:t xml:space="preserve">”) to each Notice Holder of such suspension (without setting forth any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Parent Guarantor’s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or otherwise with respect to the Resale Registration Statement, including any related obligations of the Parent Guarantor under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will be suspended until the related Blackout Period has terminated; </w:t>
      </w:r>
    </w:p>
    <w:p>
      <w:pPr>
        <w:pStyle w:val="TextBody"/>
        <w:bidi w:val="0"/>
        <w:spacing w:before="120" w:after="0"/>
        <w:jc w:val="left"/>
        <w:rPr>
          <w:rFonts w:ascii="Times New Roman" w:hAnsi="Times New Roman"/>
          <w:sz w:val="20"/>
        </w:rPr>
      </w:pPr>
      <w:r>
        <w:rPr>
          <w:rFonts w:ascii="Times New Roman" w:hAnsi="Times New Roman"/>
          <w:sz w:val="20"/>
        </w:rPr>
        <w:t xml:space="preserve">(iii) upon its receipt of such Blackout Commencement Notice, each Holder agrees to comply with its obligations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8(c)</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(iv) upon the Parent Guarantor’s determination that such suspension is no longer needed or appropriate, the Parent Guarantor will send notice (a “</w:t>
      </w:r>
      <w:r>
        <w:rPr>
          <w:rFonts w:ascii="Times New Roman" w:hAnsi="Times New Roman"/>
          <w:b/>
          <w:sz w:val="20"/>
        </w:rPr>
        <w:t>Blackout Termination Notice</w:t>
      </w:r>
      <w:r>
        <w:rPr>
          <w:rFonts w:ascii="Times New Roman" w:hAnsi="Times New Roman"/>
          <w:sz w:val="20"/>
        </w:rPr>
        <w:t>,” and the period from, and including, the date the Parent Guarantor sends such Blackout Commencement Notice to, and including, the date the Parent Guarantor sends such Blackout Termination Notice, a “</w:t>
      </w:r>
      <w:r>
        <w:rPr>
          <w:rFonts w:ascii="Times New Roman" w:hAnsi="Times New Roman"/>
          <w:b/>
          <w:sz w:val="20"/>
        </w:rPr>
        <w:t>Blackout Period</w:t>
      </w:r>
      <w:r>
        <w:rPr>
          <w:rFonts w:ascii="Times New Roman" w:hAnsi="Times New Roman"/>
          <w:sz w:val="20"/>
        </w:rPr>
        <w:t xml:space="preserve">”) to each Notice Holder of the termination of such suspension (without setting forth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Limitation on Blackout Periods</w:t>
      </w:r>
      <w:r>
        <w:rPr>
          <w:rFonts w:ascii="Times New Roman" w:hAnsi="Times New Roman"/>
          <w:sz w:val="20"/>
        </w:rPr>
        <w:t xml:space="preserve">. Notwithstanding anything to the contrary in </w:t>
      </w:r>
      <w:r>
        <w:rPr>
          <w:rFonts w:ascii="Times New Roman" w:hAnsi="Times New Roman"/>
          <w:b/>
          <w:sz w:val="20"/>
        </w:rPr>
        <w:t>Section</w:t>
      </w:r>
      <w:r>
        <w:rPr>
          <w:rFonts w:ascii="Times New Roman" w:hAnsi="Times New Roman"/>
          <w:sz w:val="20"/>
        </w:rPr>
        <w:t> </w:t>
      </w:r>
      <w:r>
        <w:rPr>
          <w:rFonts w:ascii="Times New Roman" w:hAnsi="Times New Roman"/>
          <w:b/>
          <w:sz w:val="20"/>
        </w:rPr>
        <w:t>4(a)</w:t>
      </w:r>
      <w:r>
        <w:rPr>
          <w:rFonts w:ascii="Times New Roman" w:hAnsi="Times New Roman"/>
          <w:sz w:val="20"/>
        </w:rPr>
        <w:t>, but subject to the next sentence, all Blackout Periods, together, will in no event exceed an aggregate of (i) forty five (45) calendar days (whether or not consecutive) in any ninety (90) consecutive calendar day period; or (ii) ninety (90) calendar days (whether or not consecutive) in any three hundred and sixty (360) consecutive calendar day period. Notwithstanding anything to the contrary in the preceding sentence, if, and to the extent that, the Parent Guarantor’s board of directors (or a committee thereof duly authorized to act on behalf of such board) determines in good faith that the termination of a Blackout Period would require public disclosure relating to a proposed or pending material business transaction, and such disclosure would be reasonably likely to impede the consummation of such transaction or would otherwise be materially detrimental to the Parent Guarantor and its subsidiaries, taken as a whole, then the Parent Guarantor will have the right to extend the limitation set forth in the preceding sentence to an aggregate of (i) up to sixty (60) calendar days (whether or not consecutive) in any ninety (90) consecutive calendar day period; or (ii) up to one hundred twenty (120) calendar days (whether or not consecutive) in any three hundred and sixty (360) consecutive calendar day period (any extension of any Blackout Period pursuant to this sentence, a “</w:t>
      </w:r>
      <w:r>
        <w:rPr>
          <w:rFonts w:ascii="Times New Roman" w:hAnsi="Times New Roman"/>
          <w:b/>
          <w:sz w:val="20"/>
        </w:rPr>
        <w:t>Permitted Blackout Period Extension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CERTAIN REGISTRATION AND RELATED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Registration Obligations and Securities Act; SEC Staff Comments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Parent Guarantor will make such filings with the SEC as may be necessary to comply with its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and to cause the Resale Registration Statement to comply with the Securities Act and other applicable law, including, if applicable, the filing of any Resale Registration Statement Documents to comply with Section 10(a)(3) of the Securities Act and Rule 3-12 of Regulation S-X under the Securities Act, to amend the Resale Registration Statement to cause the same to be on a form for which the Parent Guarantor and the transactions contemplated thereby are eligible, and to address any comments received from the staff of the SEC. The Parent Guarantor will otherwise comply in all material respects with the Securities Act and other applicable law in the discharge of its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Opportunity for Review</w:t>
      </w:r>
      <w:r>
        <w:rPr>
          <w:rFonts w:ascii="Times New Roman" w:hAnsi="Times New Roman"/>
          <w:sz w:val="20"/>
        </w:rPr>
        <w:t xml:space="preserve">. The Parent Guarantor will provide the Designated Holder Counsel (if one is then designated in accordance with the definition of such term) with draft copies of the initial filing of the Resale Registration Statement, each pre-effective and post-effective amendment thereto, and each related prospectus supplement, at least five (5) Business Days before the same is filed with the SEC, and the Parent Guarantor will use commercially reasonable efforts to give effect to the reasonable comments received by the Parent Guarantor from such Designated Holder Counsel within three (3) Business Days after delivery of such draft copies to the latter;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5(b)</w:t>
      </w:r>
      <w:r>
        <w:rPr>
          <w:rFonts w:ascii="Times New Roman" w:hAnsi="Times New Roman"/>
          <w:sz w:val="20"/>
        </w:rPr>
        <w:t xml:space="preserve"> will not apply to (i) any prospectus supplement that solely supplements or amends selling securityholder information and is filed pursuant to Rule 424(b)(7) under the Securities Act (or any successor rule); or (ii) any report filed pursuant to Section 13(a), 14 or 15(d)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Blue Sky Qualification</w:t>
      </w:r>
      <w:r>
        <w:rPr>
          <w:rFonts w:ascii="Times New Roman" w:hAnsi="Times New Roman"/>
          <w:sz w:val="20"/>
        </w:rPr>
        <w:t xml:space="preserve">. The Parent Guarantor will use commercially reasonable efforts to qualify the offer and sale of Registrable Securities in the manner contemplated by the Resale Registration Statement under the securities or “blue sky” laws of those jurisdictions within the United States as the Notice Holders may reasonably request and to maintain such qualification, once obtained, during the Resale Registration Statement Effectiveness Period, and the Parent Guarantor will use commercially reasonable efforts to cooperate with such Notice Holders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same, except, in each case, to the extent such qualification is not required in connection with such offer and sale (including as a result of preemption by federal law pursuant to Section 18 of the Securities Act (or any successor provision));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Issuer will be required to (i) qualify generally to do business in any jurisdiction where it is not then so qualified; (ii) take any action that would subject it to general service of process in suits (other than those arising out of the offer or sale of Registrable Securities or in connection with this Agreement) in any jurisdiction where it is not then so subject; or (iii) take any action that would subject it to taxation in any jurisdiction where it is not then so subject.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Prevention and Lifting of Suspension Orders</w:t>
      </w:r>
      <w:r>
        <w:rPr>
          <w:rFonts w:ascii="Times New Roman" w:hAnsi="Times New Roman"/>
          <w:sz w:val="20"/>
        </w:rPr>
        <w:t xml:space="preserve">. The Parent Guarantor will use commercially reasonable efforts to prevent the issuance (or, if issued, to obtain the withdrawal as promptly as practicable) of any order suspending the effectiveness of the Resale Registration Statement under the Securities Act or suspending any qualification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 of Certain Events</w:t>
      </w:r>
      <w:r>
        <w:rPr>
          <w:rFonts w:ascii="Times New Roman" w:hAnsi="Times New Roman"/>
          <w:sz w:val="20"/>
        </w:rPr>
        <w:t xml:space="preserve">. The Parent Guarantor will provide notice of the following events to each Notice Holder as soon as reasonably practicable: </w:t>
      </w:r>
    </w:p>
    <w:p>
      <w:pPr>
        <w:pStyle w:val="TextBody"/>
        <w:bidi w:val="0"/>
        <w:spacing w:before="120" w:after="0"/>
        <w:jc w:val="left"/>
        <w:rPr>
          <w:rFonts w:ascii="Times New Roman" w:hAnsi="Times New Roman"/>
          <w:sz w:val="20"/>
        </w:rPr>
      </w:pPr>
      <w:r>
        <w:rPr>
          <w:rFonts w:ascii="Times New Roman" w:hAnsi="Times New Roman"/>
          <w:sz w:val="20"/>
        </w:rPr>
        <w:t xml:space="preserve">(i) the receipt, by the Parent Guarantor, of any request by the staff of the SEC for any amendment or supplement to the Resale Registration Statement or any related prospectus or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(ii) the issuance, by the SEC or any other governmental authority, of any stop order suspending the effectiveness of the Resale Registration Statement or the receipt, by the Parent Guarantor, of any written notice that proceedings for such purpose have been initiated; </w:t>
      </w:r>
    </w:p>
    <w:p>
      <w:pPr>
        <w:pStyle w:val="TextBody"/>
        <w:bidi w:val="0"/>
        <w:spacing w:before="120" w:after="0"/>
        <w:jc w:val="left"/>
        <w:rPr>
          <w:rFonts w:ascii="Times New Roman" w:hAnsi="Times New Roman"/>
          <w:sz w:val="20"/>
        </w:rPr>
      </w:pPr>
      <w:r>
        <w:rPr>
          <w:rFonts w:ascii="Times New Roman" w:hAnsi="Times New Roman"/>
          <w:sz w:val="20"/>
        </w:rPr>
        <w:t xml:space="preserve">(iii) the receipt, by the Parent Guarantor, of any written notice (x) of the suspension of the qualification or exemption from qualification of the offer and sale of the Registrable Securities in any jurisdiction; or (y) that proceedings for such purpose have been initiated; </w:t>
      </w:r>
    </w:p>
    <w:p>
      <w:pPr>
        <w:pStyle w:val="TextBody"/>
        <w:bidi w:val="0"/>
        <w:spacing w:before="120" w:after="0"/>
        <w:jc w:val="left"/>
        <w:rPr>
          <w:rFonts w:ascii="Times New Roman" w:hAnsi="Times New Roman"/>
          <w:sz w:val="20"/>
        </w:rPr>
      </w:pPr>
      <w:r>
        <w:rPr>
          <w:rFonts w:ascii="Times New Roman" w:hAnsi="Times New Roman"/>
          <w:sz w:val="20"/>
        </w:rPr>
        <w:t xml:space="preserve">(iv) the withdrawal or lifting of any suspension referred to in </w:t>
      </w:r>
      <w:r>
        <w:rPr>
          <w:rFonts w:ascii="Times New Roman" w:hAnsi="Times New Roman"/>
          <w:b/>
          <w:sz w:val="20"/>
        </w:rPr>
        <w:t>clause (ii)</w:t>
      </w:r>
      <w:r>
        <w:rPr>
          <w:rFonts w:ascii="Times New Roman" w:hAnsi="Times New Roman"/>
          <w:sz w:val="20"/>
        </w:rPr>
        <w:t xml:space="preserve"> or </w:t>
      </w:r>
      <w:r>
        <w:rPr>
          <w:rFonts w:ascii="Times New Roman" w:hAnsi="Times New Roman"/>
          <w:b/>
          <w:sz w:val="20"/>
        </w:rPr>
        <w:t>(iii)</w:t>
      </w:r>
      <w:r>
        <w:rPr>
          <w:rFonts w:ascii="Times New Roman" w:hAnsi="Times New Roman"/>
          <w:sz w:val="20"/>
        </w:rPr>
        <w:t xml:space="preserve"> above; and </w:t>
      </w:r>
    </w:p>
    <w:p>
      <w:pPr>
        <w:pStyle w:val="TextBody"/>
        <w:bidi w:val="0"/>
        <w:spacing w:before="120" w:after="0"/>
        <w:jc w:val="left"/>
        <w:rPr>
          <w:rFonts w:ascii="Times New Roman" w:hAnsi="Times New Roman"/>
          <w:sz w:val="20"/>
        </w:rPr>
      </w:pPr>
      <w:r>
        <w:rPr>
          <w:rFonts w:ascii="Times New Roman" w:hAnsi="Times New Roman"/>
          <w:sz w:val="20"/>
        </w:rPr>
        <w:t xml:space="preserve">(v) that the Parent Guarantor has determined that the use of the Resale Registration Statement must be suspended (which notice may, at the Parent Guarantor’s discretion, state that it constitutes a Blackout Commencement Notice), including as a result of the occurrence of any event that causes any of the Resale Registration Statement Documents to have a Material Disclosure Defect or to cease to comply with applicable law;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the Parent Guarantor need not provide any such notice during a Blackout Period; and (y) in no event will this </w:t>
      </w:r>
      <w:r>
        <w:rPr>
          <w:rFonts w:ascii="Times New Roman" w:hAnsi="Times New Roman"/>
          <w:b/>
          <w:sz w:val="20"/>
        </w:rPr>
        <w:t>Section</w:t>
      </w:r>
      <w:r>
        <w:rPr>
          <w:rFonts w:ascii="Times New Roman" w:hAnsi="Times New Roman"/>
          <w:sz w:val="20"/>
        </w:rPr>
        <w:t> </w:t>
      </w:r>
      <w:r>
        <w:rPr>
          <w:rFonts w:ascii="Times New Roman" w:hAnsi="Times New Roman"/>
          <w:b/>
          <w:sz w:val="20"/>
        </w:rPr>
        <w:t>5(e)</w:t>
      </w:r>
      <w:r>
        <w:rPr>
          <w:rFonts w:ascii="Times New Roman" w:hAnsi="Times New Roman"/>
          <w:sz w:val="20"/>
        </w:rPr>
        <w:t xml:space="preserve"> require the Parent Guarantor to, and in no event will the Parent Guarantor, provide any information that it in good faith determines would constitute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Remediation of Material Disclosure Defects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the Parent Guarantor will, as promptly as practicable after determining that any Resale Registration Statement Document contains a Material Disclosure Defect, prepare and file with the SEC (and, if applicable, use commercially reasonable efforts to cause the same to become effective under the Securities Act as promptly as practicable) such appropriate additional Resale Registration Statement Document(s) so as to cause the applicable Resale Registration Statement Document(s) to thereafter not contain any Material Disclosure Defect.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Listing of Registrable Securities</w:t>
      </w:r>
      <w:r>
        <w:rPr>
          <w:rFonts w:ascii="Times New Roman" w:hAnsi="Times New Roman"/>
          <w:sz w:val="20"/>
        </w:rPr>
        <w:t xml:space="preserve">. The Parent Guarantor will use commercially reasonable efforts to cause the Registrable Securities to be listed for trading on each U.S. national securities exchange, if any, on which securities of the same class of the Parent Guarantor are then so listed.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Provision of Copies of the Prospectus</w:t>
      </w:r>
      <w:r>
        <w:rPr>
          <w:rFonts w:ascii="Times New Roman" w:hAnsi="Times New Roman"/>
          <w:sz w:val="20"/>
        </w:rPr>
        <w:t xml:space="preserve">. At its expense, the Parent Guarantor will provide, to Notice Holders, such number of copies of the prospectus relating to the Resale Registration Statement or any related prospectus supplement or “issuer free writing prospectus” (as defined in Rule 433 under the Securities Act) as such Notice Holders may reasonably request;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Parent Guarantor need not provide any document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5(h)</w:t>
      </w:r>
      <w:r>
        <w:rPr>
          <w:rFonts w:ascii="Times New Roman" w:hAnsi="Times New Roman"/>
          <w:sz w:val="20"/>
        </w:rPr>
        <w:t xml:space="preserve"> that is publicly available on the SEC’s EDGAR system (or any successor thereto).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Holders Cannot Be Identified as Underwriters Without Consent</w:t>
      </w:r>
      <w:r>
        <w:rPr>
          <w:rFonts w:ascii="Times New Roman" w:hAnsi="Times New Roman"/>
          <w:sz w:val="20"/>
        </w:rPr>
        <w:t xml:space="preserve">. The Parent Guarantor will not expressly name or identify any Holder as an “underwriter” in any Resale Registration Statement Document without such Holder’s prior written consent (including consent provided in a Notice and Questionnaire);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5(i) </w:t>
      </w:r>
      <w:r>
        <w:rPr>
          <w:rFonts w:ascii="Times New Roman" w:hAnsi="Times New Roman"/>
          <w:sz w:val="20"/>
        </w:rPr>
        <w:t xml:space="preserve">will require the consent of any Holder in connection with the inclusion in any Resale Registration Statement Document of customary language, without specifically naming any Holder, that selling securityholders may in certain circumstances be considered to be underwriters under federal securities laws. If, and for so long as, any Notice Holder that is required (either upon the reasonable advice of counsel for the Parent Guarantor or by the staff of the SEC) to be expressly named or identified as an “underwriter” in any Resale Registration Statement Document does not provide its written consent to being named as such, then, notwithstanding anything to the contrary in this Agreement, the Parent Guarantor’s failure to include such Notice Holder or its Registrable Securities in any Resale Registration Statement Document will not constitute a Registration Default Event or a breach of the Issuers’ respective obligations under this Agreement or otherwise require the accrual or payment of any Additional Interest.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Earnings Statement</w:t>
      </w:r>
      <w:r>
        <w:rPr>
          <w:rFonts w:ascii="Times New Roman" w:hAnsi="Times New Roman"/>
          <w:sz w:val="20"/>
        </w:rPr>
        <w:t xml:space="preserve">. The Parent Guarantor will use commercially reasonable efforts to comply with its reporting obligations, if any, under Section 13(a) or 15(d) of the Exchange Act in such manner, as contemplated under Rule 158 under the Securities Act, so as to make generally available to its securityholders an earnings statement covering the twelve (12) month period referred to in Section 11(a) of the Securities Act, as it relates to the Resale Registration Statement, in the manner contemplated by, and otherwise in compliance with, such Section 11(a).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Settlement of Transfers and De-Legending</w:t>
      </w:r>
      <w:r>
        <w:rPr>
          <w:rFonts w:ascii="Times New Roman" w:hAnsi="Times New Roman"/>
          <w:sz w:val="20"/>
        </w:rPr>
        <w:t xml:space="preserve">. The Parent Guarantor will use commercially reasonable efforts to cause its transfer agent (or any other securities custodian for any Registrable Securities) to cooperate in connection with the settlement of any transfer of Registrable Securities pursuant to the Resale Registration Statement, including through the applicable Depositary. If any such Registrable Securities so transferred are represented by a certificate bearing a Restricted Security Legend, then the Parent Guarantor will, if appropriate, use commercially reasonable efforts to cause such Registrable Securities to be reissued in the form of one or more certificates not bearing such a legend.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EXPENSES</w:t>
      </w:r>
      <w:r>
        <w:rPr>
          <w:rFonts w:ascii="Times New Roman" w:hAnsi="Times New Roman"/>
          <w:sz w:val="20"/>
        </w:rPr>
        <w:t xml:space="preserve">. All Company Registration Expenses will be borne by the Parent Guarantor. All fees and expenses that are incurred by any Holder in connection with this Agreement, and that are not Company Registration Expenses, will be borne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ACCRUAL OF ADDITIONAL INTEREST DURING REGISTRATION DEFAULT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Accrual of Additional Interest During Continuance of Registration Default Event</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7(b)</w:t>
      </w:r>
      <w:r>
        <w:rPr>
          <w:rFonts w:ascii="Times New Roman" w:hAnsi="Times New Roman"/>
          <w:sz w:val="20"/>
        </w:rPr>
        <w:t xml:space="preserve">, Additional Interest will accrue,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7(c)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on all of the outstanding Initial Notes for each day during the Resale Registration Statement Effectiveness Period on which the Resale Registration Statement is not on file with the SEC, effective under the Securities Act or usable for the resale or other transfer of Registrable Securities in the manner required by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Additional Interest will accrue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7(a)(i)(1)</w:t>
      </w:r>
      <w:r>
        <w:rPr>
          <w:rFonts w:ascii="Times New Roman" w:hAnsi="Times New Roman"/>
          <w:sz w:val="20"/>
        </w:rPr>
        <w:t xml:space="preserve"> only to the extent that the number of days during the Resale Registration Statement Effectiveness Period on which the Resale Registration Statement is so not on file, effective or usable (inclusive of any Blackout Period) exceeds an aggregate of either (x) forty five (45) (or, in the case of a Permitted Blackout Period Extension, sixty (60)) calendar days (whether or not consecutive) in any ninety (90) consecutive calendar day period; or (y) ninety (90) (or, in the case of a Permitted Blackout Period Extension, one hundred twenty (120)) calendar days (whether or not consecutive) in any three hundred and sixty (360) consecutive calendar day period; and (B) no Additional Interest will accrue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7(a)(i)(1)</w:t>
      </w:r>
      <w:r>
        <w:rPr>
          <w:rFonts w:ascii="Times New Roman" w:hAnsi="Times New Roman"/>
          <w:sz w:val="20"/>
        </w:rPr>
        <w:t xml:space="preserve"> as a result of the Resale Registration Statement becoming unavailable in connection with the filing of a post-effective amendment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but only to the extent such unavailability in respect of such post-effective amendment does not exceed five (5) Business Days;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on any outstanding Initial Note (and only such Initial Note) as to which the Holder has timely and duly delivered a Notice and Questionnaire: </w:t>
      </w:r>
    </w:p>
    <w:p>
      <w:pPr>
        <w:pStyle w:val="TextBody"/>
        <w:bidi w:val="0"/>
        <w:spacing w:before="120" w:after="0"/>
        <w:jc w:val="left"/>
        <w:rPr>
          <w:rFonts w:ascii="Times New Roman" w:hAnsi="Times New Roman"/>
          <w:sz w:val="20"/>
        </w:rPr>
      </w:pPr>
      <w:r>
        <w:rPr>
          <w:rFonts w:ascii="Times New Roman" w:hAnsi="Times New Roman"/>
          <w:sz w:val="20"/>
        </w:rPr>
        <w:t xml:space="preserve">(A) on or before the Initial Notice and Questionnaire Deadline Date, for each day (other than during a Blackout Period), on or after the first date that the initial Resale Registration Statement becomes effective under the Securities Act, on which the Parent Guarantor, through its omission, has failed, and not cured such failure, to cause the Resale Registration Statement to cover any Registrable Securities of such Initial Note (provided such Registrable Securities are properly identified in such Notice and Questionnaire) in such manner as would enable such Holder to sell or otherwise transfer such Registrable Securities pursuant to the Resale Registration Statement and the related prospectus and, if applicable, prospectus supplement in accordance with the plan of distribution set forth therein; or </w:t>
      </w:r>
    </w:p>
    <w:p>
      <w:pPr>
        <w:pStyle w:val="TextBody"/>
        <w:bidi w:val="0"/>
        <w:spacing w:before="120" w:after="0"/>
        <w:jc w:val="left"/>
        <w:rPr>
          <w:rFonts w:ascii="Times New Roman" w:hAnsi="Times New Roman"/>
          <w:sz w:val="20"/>
        </w:rPr>
      </w:pPr>
      <w:r>
        <w:rPr>
          <w:rFonts w:ascii="Times New Roman" w:hAnsi="Times New Roman"/>
          <w:sz w:val="20"/>
        </w:rPr>
        <w:t xml:space="preserve">(B)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after the Initial Notice and Questionnaire Deadline Date, for each day (other than during a Blackout Period), on or after the date on which the applicable filing is required to be made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(or, if applicable, such later date as of which the related new Resale Registration Statement or post-effective amendment becomes effective under the Securities Act), on which the Parent Guarantor, through its omission, has failed, and not cured such failure, to include, in such filing, any Registrable Securities of such Initial Note (provided such Registrable Securities are properly identified in such Notice and Questionnaire) in such manner as would enable such Holder to sell or otherwise transfer such Registrable Securities pursuant to the applicable Resale Registration Statement and the related prospectus and, if applicable, prospectus supplement in accordance with the plan of distribution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Registration Default Events Outside the Resale Registration Statement Effectiveness Period; No Accrual of Additional Interest on Registrable Securities</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(i) no Registration Default Event will occur on any day that is not within the Resale Registration Statement Effectiveness Period; and (ii) no Additional Interest will accrue on any securities other than the Initial Notes (it being understood, for the avoidance of doubt, that no Additional Interest will accrue on any Registrable Security).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Accrual and Payment of Additional Interest</w:t>
      </w:r>
      <w:r>
        <w:rPr>
          <w:rFonts w:ascii="Times New Roman" w:hAnsi="Times New Roman"/>
          <w:sz w:val="20"/>
        </w:rPr>
        <w:t xml:space="preserve">. Any Additional Interest that accrues on an Initial Note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7(a)</w:t>
      </w:r>
      <w:r>
        <w:rPr>
          <w:rFonts w:ascii="Times New Roman" w:hAnsi="Times New Roman"/>
          <w:sz w:val="20"/>
        </w:rPr>
        <w:t xml:space="preserve"> will accrue and be payable in the manner, and at the rates, and subject to the limitations, set forth in Section 3.04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Remedies Not Exclusive</w:t>
      </w:r>
      <w:r>
        <w:rPr>
          <w:rFonts w:ascii="Times New Roman" w:hAnsi="Times New Roman"/>
          <w:sz w:val="20"/>
        </w:rPr>
        <w:t xml:space="preserve">. The accrual or payment of Additional Interest is not the exclusive remedy and will not limit, and will be in addition to, any rights or remedies that may otherwise be available to any Holder at law or in equity;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anything to the contrary in this Agreement, if a Maturity Premium is paid on an Initial Note in connection with a Registration Default Event, then the payment of such Maturity Premium (together, if applicable, with any Additional Interest payable on such Initial Note on account of such Registration Default Event) will be the exclusive remedy available to the Holder of such Initial Note in respect of such Registration Default Event.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CERTAIN AGREEMENTS AND REPRESENTATIONS OF THE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Provision of Information</w:t>
      </w:r>
      <w:r>
        <w:rPr>
          <w:rFonts w:ascii="Times New Roman" w:hAnsi="Times New Roman"/>
          <w:sz w:val="20"/>
        </w:rPr>
        <w:t xml:space="preserve">. Notwithstanding anything to the contrary in this Agreement, no Holder will be entitled to any benefits under this Agreement until it has executed and delivered a Notice and Questionnaire to the Company. Each Holder represents that the information included in any such Notice and Questionnaire is accurate and complete in all material respects and covenants, during the term of this Agreement, to promptly provide notice to the Company if any such information thereafter ceases to be accurate and complete in all material respects. Each Holder authorizes the Parent Guarantor to assume the accuracy and completeness of all information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most recent Notice and Questionnaire executed and delivered to the Company by such Holder. Each Holder will (i) provide, as soon as reasonably practicable, such other information as the Parent Guarantor may reasonably request in connection with the performance of the Parent Guarantor’s obligations under this Agreement; and (ii) promptly notify the Company upon becoming aware that any information relating to such Holder and included in any Resale Registration Statement Document contains a Material Disclosure Defect.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Use of Offering Materials</w:t>
      </w:r>
      <w:r>
        <w:rPr>
          <w:rFonts w:ascii="Times New Roman" w:hAnsi="Times New Roman"/>
          <w:sz w:val="20"/>
        </w:rPr>
        <w:t xml:space="preserve">. Each Holder agrees that, without the prior written consent of the Parent Guarantor, it will not offer or sell any Registrable Securities by means of any written communication other than the latest prospectus or prospectus supplement provided to such Holder by the Parent Guarantor (or on file on SEC’s EDGAR system (or any successor thereto)) relating to the Resale Registration Statement, and any related “issuer free writing prospectus” (as defined in Rule 433 under the Securities Act) authorized for such use by the Parent Guarantor.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Covenants Relating to Blackout Periods</w:t>
      </w:r>
      <w:r>
        <w:rPr>
          <w:rFonts w:ascii="Times New Roman" w:hAnsi="Times New Roman"/>
          <w:sz w:val="20"/>
        </w:rPr>
        <w:t xml:space="preserve">. Each Holder agrees that, upon its receipt of a Blackout Commencement Notice, such Holder will not effect any sale or other transfer of Registrable Securities pursuant to the Resale Registration Statement, and will not distribute any Resale Registration Statement Document, until such Holder has received a subsequent Blackout Termination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by the Issuers</w:t>
      </w:r>
      <w:r>
        <w:rPr>
          <w:rFonts w:ascii="Times New Roman" w:hAnsi="Times New Roman"/>
          <w:sz w:val="20"/>
        </w:rPr>
        <w:t xml:space="preserve">. The Issuers, jointly and severally, will indemnify, defend and hold harmless each Holder Indemnified Person from and against (and will reimburse such Holder Indemnified Person, as incurred, for) any Losses that, jointly or severally, such Holder Indemnified Person may incur under the Securities Act, the Exchange Act, the common law or otherwise, insofar as such Losses arise out of or are based on any Material Disclosure Defect or alleged Material Disclosure Defect in any Resale Registration Statement Document;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Issuer will have any obligation under this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in respect of any Losses insofar as such Losses arise out of or are based on (i) any sale by such Holder Indemnified Person, pursuant to the Resale Registration Statement, of Registrable Securities either (x) during a Blackout Period in breach of such Holder’s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4(a)(iii)</w:t>
      </w:r>
      <w:r>
        <w:rPr>
          <w:rFonts w:ascii="Times New Roman" w:hAnsi="Times New Roman"/>
          <w:sz w:val="20"/>
        </w:rPr>
        <w:t xml:space="preserve">; or (y) without delivery, if required by the Securities Act, of the most recent related prospectus or prospectus supplement provided to such Holder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5(h)</w:t>
      </w:r>
      <w:r>
        <w:rPr>
          <w:rFonts w:ascii="Times New Roman" w:hAnsi="Times New Roman"/>
          <w:sz w:val="20"/>
        </w:rPr>
        <w:t xml:space="preserve"> (or on file on SEC’s EDGAR system (or any successor thereto)), except, in the case of this </w:t>
      </w:r>
      <w:r>
        <w:rPr>
          <w:rFonts w:ascii="Times New Roman" w:hAnsi="Times New Roman"/>
          <w:b/>
          <w:sz w:val="20"/>
        </w:rPr>
        <w:t>clause (y)</w:t>
      </w:r>
      <w:r>
        <w:rPr>
          <w:rFonts w:ascii="Times New Roman" w:hAnsi="Times New Roman"/>
          <w:sz w:val="20"/>
        </w:rPr>
        <w:t xml:space="preserve">, to the extent the same is deemed to have been delivered through compliance with Rule 172 under the Securities Act or any similar rule; or (ii) any Material Disclosure Defect or alleged Material Disclosure Defect included in any Resale Registration Statement Document in conformity with the Holder Information of any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by the Holders</w:t>
      </w:r>
      <w:r>
        <w:rPr>
          <w:rFonts w:ascii="Times New Roman" w:hAnsi="Times New Roman"/>
          <w:sz w:val="20"/>
        </w:rPr>
        <w:t xml:space="preserve">. Each Holder, severally and not jointly, will indemnify, defend and hold harmless each Company Indemnified Person from and against (and will reimburse such Company Indemnified Person, as incurred, for) any Losses that, jointly or severally, such Company Indemnified Person may incur under the Securities Act, the Exchange Act, the common law or otherwise, insofar as such Losses arise out of or are based on (i) any sale by such Holder, pursuant to the Resale Registration Statement, of Registrable Securities either (x) during a Blackout Period in breach of such Holder’s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4(a)(iii)</w:t>
      </w:r>
      <w:r>
        <w:rPr>
          <w:rFonts w:ascii="Times New Roman" w:hAnsi="Times New Roman"/>
          <w:sz w:val="20"/>
        </w:rPr>
        <w:t xml:space="preserve">; or (y) without delivery, if required by the Securities Act, of the most recent related prospectus or prospectus supplement provided to such Holder by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5(h)</w:t>
      </w:r>
      <w:r>
        <w:rPr>
          <w:rFonts w:ascii="Times New Roman" w:hAnsi="Times New Roman"/>
          <w:sz w:val="20"/>
        </w:rPr>
        <w:t xml:space="preserve"> (or on file on SEC’s EDGAR system (or any successor thereto)), except, in the case of this </w:t>
      </w:r>
      <w:r>
        <w:rPr>
          <w:rFonts w:ascii="Times New Roman" w:hAnsi="Times New Roman"/>
          <w:b/>
          <w:sz w:val="20"/>
        </w:rPr>
        <w:t>clause (y)</w:t>
      </w:r>
      <w:r>
        <w:rPr>
          <w:rFonts w:ascii="Times New Roman" w:hAnsi="Times New Roman"/>
          <w:sz w:val="20"/>
        </w:rPr>
        <w:t xml:space="preserve">, to the extent the same is deemed to have been delivered through compliance with Rule 172 under the Securities Act or any similar rule; or (ii) any Material Disclosure Defect or alleged Material Disclosure Defect in any Resale Registration Statement Document, which Material Disclosure Defect or alleged Material Disclosure Defect is included therein in conformity with the Holder Information of such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the liability of any Holder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exceed a dollar amount equal to the proceeds received by such Holder (less any related discounts, commissions, transfer taxes, fees or other expenses) from the sale of the Registrable Securities giving rise to the related indemnification obligation under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will impose any obligation on any Initial Purchaser acting in its capacity as such in connection with the offering of the Initial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Indemnification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Notice of Proceedings</w:t>
      </w:r>
      <w:r>
        <w:rPr>
          <w:rFonts w:ascii="Times New Roman" w:hAnsi="Times New Roman"/>
          <w:sz w:val="20"/>
        </w:rPr>
        <w:t>. If any claim, action, suit or proceeding (each, a “</w:t>
      </w:r>
      <w:r>
        <w:rPr>
          <w:rFonts w:ascii="Times New Roman" w:hAnsi="Times New Roman"/>
          <w:b/>
          <w:sz w:val="20"/>
        </w:rPr>
        <w:t>Proceeding</w:t>
      </w:r>
      <w:r>
        <w:rPr>
          <w:rFonts w:ascii="Times New Roman" w:hAnsi="Times New Roman"/>
          <w:sz w:val="20"/>
        </w:rPr>
        <w:t>”) is made or commenced against any Indemnified Person in respect of which indemnity is or may be sought from any Person (in such capacity, the “</w:t>
      </w:r>
      <w:r>
        <w:rPr>
          <w:rFonts w:ascii="Times New Roman" w:hAnsi="Times New Roman"/>
          <w:b/>
          <w:sz w:val="20"/>
        </w:rPr>
        <w:t>Indemnifying Party</w:t>
      </w:r>
      <w:r>
        <w:rPr>
          <w:rFonts w:ascii="Times New Roman" w:hAnsi="Times New Roman"/>
          <w:sz w:val="20"/>
        </w:rPr>
        <w:t xml:space="preserv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then such Indemnified Person will promptly notify the Indemnifying Party in writing of such Proceeding;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so notify such Indemnifying Party will not relieve such Indemnifying Party from any liability that it may have to such Indemnified Person or otherwise, except to the extent that such Indemnifying Party is materially prejudiced by such failure.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Defense of Proceedings; Employment of Counsel</w:t>
      </w:r>
      <w:r>
        <w:rPr>
          <w:rFonts w:ascii="Times New Roman" w:hAnsi="Times New Roman"/>
          <w:sz w:val="20"/>
        </w:rPr>
        <w:t xml:space="preserve">. Subject to the next sentence, upon its receipt of the notice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in respect of a Proceeding, the Indemnifying Party will assume the defense of such Proceeding, including the employment of counsel reasonably satisfactory to the Indemnified Person and payment of all fees and expenses. Such Indemnified Person will also have the right to employ its own counsel in such Proceeding at such Indemnified Person’s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Indemnifying Party will be responsible for, and pay as incurred, the reasonable and documented fees and expenses of such counsel if (1) such Indemnifying Party authorized, in writing, the employment of such counsel in connection with the defense of such Proceeding; (2) such Indemnifying Party fails, within thirty (30) days after its receipt of the notice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9(c)(i)</w:t>
      </w:r>
      <w:r>
        <w:rPr>
          <w:rFonts w:ascii="Times New Roman" w:hAnsi="Times New Roman"/>
          <w:sz w:val="20"/>
        </w:rPr>
        <w:t xml:space="preserve">, to employ counsel to defend such Proceeding; or (3) such Indemnified Person reasonably concludes that there may be defenses available to such Indemnified Person that are different from, in addition to, or in conflict with, those available to such Indemnifying Party (in which case of this </w:t>
      </w:r>
      <w:r>
        <w:rPr>
          <w:rFonts w:ascii="Times New Roman" w:hAnsi="Times New Roman"/>
          <w:b/>
          <w:sz w:val="20"/>
        </w:rPr>
        <w:t>clause (3)</w:t>
      </w:r>
      <w:r>
        <w:rPr>
          <w:rFonts w:ascii="Times New Roman" w:hAnsi="Times New Roman"/>
          <w:sz w:val="20"/>
        </w:rPr>
        <w:t xml:space="preserve">, such Indemnifying Party will not have the right to direct the defense of such Proceeding on behalf of such Indemnified Person).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9(c)(ii)</w:t>
      </w:r>
      <w:r>
        <w:rPr>
          <w:rFonts w:ascii="Times New Roman" w:hAnsi="Times New Roman"/>
          <w:sz w:val="20"/>
        </w:rPr>
        <w:t xml:space="preserve">, in no event will any Indemnifying Party be liable for the fees or expenses of more than one separate counsel (in addition to any local counsel) in any one Proceeding or series of related Proceedings in the same jurisdiction representing the Indemnified Person(s) who are parties to such Proceeding.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Settlements of Proceedings</w:t>
      </w:r>
      <w:r>
        <w:rPr>
          <w:rFonts w:ascii="Times New Roman" w:hAnsi="Times New Roman"/>
          <w:sz w:val="20"/>
        </w:rPr>
        <w:t xml:space="preserve">. An Indemnifying Party will not be liable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9(b)</w:t>
      </w:r>
      <w:r>
        <w:rPr>
          <w:rFonts w:ascii="Times New Roman" w:hAnsi="Times New Roman"/>
          <w:sz w:val="20"/>
        </w:rPr>
        <w:t xml:space="preserve">, as applicable, or this </w:t>
      </w:r>
      <w:r>
        <w:rPr>
          <w:rFonts w:ascii="Times New Roman" w:hAnsi="Times New Roman"/>
          <w:b/>
          <w:sz w:val="20"/>
        </w:rPr>
        <w:t>Section</w:t>
      </w:r>
      <w:r>
        <w:rPr>
          <w:rFonts w:ascii="Times New Roman" w:hAnsi="Times New Roman"/>
          <w:sz w:val="20"/>
        </w:rPr>
        <w:t> </w:t>
      </w:r>
      <w:r>
        <w:rPr>
          <w:rFonts w:ascii="Times New Roman" w:hAnsi="Times New Roman"/>
          <w:b/>
          <w:sz w:val="20"/>
        </w:rPr>
        <w:t>9(c)</w:t>
      </w:r>
      <w:r>
        <w:rPr>
          <w:rFonts w:ascii="Times New Roman" w:hAnsi="Times New Roman"/>
          <w:sz w:val="20"/>
        </w:rPr>
        <w:t xml:space="preserve"> for any settlement of any Proceeding except as provided in the next sentence. If any Proceeding is settled, then the Indemnifying Party will indemnify and hold harmless each Indemnified Person that is subject to such settlement from and against any Losses incurred by such Indemnified Person by reason of such settlement, if: </w:t>
      </w:r>
    </w:p>
    <w:p>
      <w:pPr>
        <w:pStyle w:val="TextBody"/>
        <w:bidi w:val="0"/>
        <w:spacing w:before="120" w:after="0"/>
        <w:jc w:val="left"/>
        <w:rPr>
          <w:rFonts w:ascii="Times New Roman" w:hAnsi="Times New Roman"/>
          <w:sz w:val="20"/>
        </w:rPr>
      </w:pPr>
      <w:r>
        <w:rPr>
          <w:rFonts w:ascii="Times New Roman" w:hAnsi="Times New Roman"/>
          <w:sz w:val="20"/>
        </w:rPr>
        <w:t xml:space="preserve">(1) such Indemnifying Party effected, or otherwise provided its written consent to, such settlement (which consent will not be unreasonably withheld or delayed); or </w:t>
      </w:r>
    </w:p>
    <w:p>
      <w:pPr>
        <w:pStyle w:val="TextBody"/>
        <w:bidi w:val="0"/>
        <w:spacing w:before="120" w:after="0"/>
        <w:jc w:val="left"/>
        <w:rPr>
          <w:rFonts w:ascii="Times New Roman" w:hAnsi="Times New Roman"/>
          <w:sz w:val="20"/>
        </w:rPr>
      </w:pPr>
      <w:r>
        <w:rPr>
          <w:rFonts w:ascii="Times New Roman" w:hAnsi="Times New Roman"/>
          <w:sz w:val="20"/>
        </w:rPr>
        <w:t xml:space="preserve">(2) (2) (A) such Indemnified Person has requested such Indemnifying Party to reimburse such Indemnified Person for any fees and expenses of counsel as contemplated by </w:t>
      </w:r>
      <w:r>
        <w:rPr>
          <w:rFonts w:ascii="Times New Roman" w:hAnsi="Times New Roman"/>
          <w:b/>
          <w:sz w:val="20"/>
        </w:rPr>
        <w:t>Section</w:t>
      </w:r>
      <w:r>
        <w:rPr>
          <w:rFonts w:ascii="Times New Roman" w:hAnsi="Times New Roman"/>
          <w:sz w:val="20"/>
        </w:rPr>
        <w:t> </w:t>
      </w:r>
      <w:r>
        <w:rPr>
          <w:rFonts w:ascii="Times New Roman" w:hAnsi="Times New Roman"/>
          <w:b/>
          <w:sz w:val="20"/>
        </w:rPr>
        <w:t>9(c)(ii)</w:t>
      </w:r>
      <w:r>
        <w:rPr>
          <w:rFonts w:ascii="Times New Roman" w:hAnsi="Times New Roman"/>
          <w:sz w:val="20"/>
        </w:rPr>
        <w:t xml:space="preserve">; (B) such settlement is entered into more than sixty (60) Business Days after such Indemnifying Party has received such request; (C) such Indemnifying Party has not fully reimbursed such Indemnified Person in accordance with such request before the date of such settlement; and (D) such Indemnified Person has given such Indemnifying Party at least thirty (30) days’ prior notice of its intention to settle. </w:t>
      </w:r>
    </w:p>
    <w:p>
      <w:pPr>
        <w:pStyle w:val="TextBody"/>
        <w:bidi w:val="0"/>
        <w:spacing w:before="120" w:after="0"/>
        <w:jc w:val="left"/>
        <w:rPr>
          <w:rFonts w:ascii="Times New Roman" w:hAnsi="Times New Roman"/>
          <w:sz w:val="20"/>
        </w:rPr>
      </w:pPr>
      <w:r>
        <w:rPr>
          <w:rFonts w:ascii="Times New Roman" w:hAnsi="Times New Roman"/>
          <w:sz w:val="20"/>
        </w:rPr>
        <w:t xml:space="preserve">The Indemnifying Party will not effect any settlement of any Proceeding without the prior written consent of the applicable Indemnified Person(s) (which consent will not be unreasonably withheld or delayed), unless such settlement (1) includes an unconditional release of such Indemnified Person(s) from all liability on the claims that are the subject matter of such Proceeding; and (2) does not include an admission of fault or culpability or a failure to act by or on behalf of such Indemnified Person(s).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 Where Indemnification Not Available</w:t>
      </w:r>
      <w:r>
        <w:rPr>
          <w:rFonts w:ascii="Times New Roman" w:hAnsi="Times New Roman"/>
          <w:sz w:val="20"/>
        </w:rPr>
        <w:t xml:space="preserve">. If the indemnification provided for in this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is unavailable to any Indemnified Person, or is insufficient to hold any Indemnified Person harmless, in respect of any Losses referred to in the preceding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then each applicable Indemnifying Party, severally and not jointly, will contribute to the amount paid or payable by such Indemnified Person as a result of such Losses (i) in such proportion as is appropriate to reflect the relative benefits received by the Issuers, on the one hand, and the Holders, on the other hand, from the offer and sale of the Registrable Securities; or (ii)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allocation provided by </w:t>
      </w:r>
      <w:r>
        <w:rPr>
          <w:rFonts w:ascii="Times New Roman" w:hAnsi="Times New Roman"/>
          <w:b/>
          <w:sz w:val="20"/>
        </w:rPr>
        <w:t>clause (i)</w:t>
      </w:r>
      <w:r>
        <w:rPr>
          <w:rFonts w:ascii="Times New Roman" w:hAnsi="Times New Roman"/>
          <w:sz w:val="20"/>
        </w:rPr>
        <w:t xml:space="preserve"> above is not permitted by applicable law, in such proportion as is appropriate to reflect not only the relative benefits referred to in </w:t>
      </w:r>
      <w:r>
        <w:rPr>
          <w:rFonts w:ascii="Times New Roman" w:hAnsi="Times New Roman"/>
          <w:b/>
          <w:sz w:val="20"/>
        </w:rPr>
        <w:t>clause (i)</w:t>
      </w:r>
      <w:r>
        <w:rPr>
          <w:rFonts w:ascii="Times New Roman" w:hAnsi="Times New Roman"/>
          <w:sz w:val="20"/>
        </w:rPr>
        <w:t xml:space="preserve"> above but also the relative fault of the Issuers, on the one hand, and of the Holders, on the other hand, in connection with the statements or omissions, or the actions or non-actions, as applicable, that resulted in such Losses, as well as other relevant equitable considerations. The benefits to the Issuers, on the one hand, will be deemed to be equal to the proceeds (after deducting offering expenses) from the issuance and sale of the Initial Notes pursuant to the Purchase Agreement, and the benefits received by any Holder, on the other hand, will be deemed to be the value of having the offer and sale of such Holder’s Registrable Securities registered under the Securities Act pursuant to this Agreement. The relative fault of the Issuers, on the one hand, and of the Holders, on the other hand, will be determined by reference to, among other things, whether any applicable Material Disclosure Defect or alleged Material Disclosure Defect, or any relevant action or non-action, as applicable, relates to information supplied, or was taken or made, as applicable, by the Issuers or by the Holders and the parties’ relative intent, knowledge, access to information and opportunity to correct or prevent such Material Disclosure Defect or alleged Material Disclosure Defect, or such action or non-action, as applicable. The amount paid or payable by an Indemnified Person as a result of any Losses referred to in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9(d) </w:t>
      </w:r>
      <w:r>
        <w:rPr>
          <w:rFonts w:ascii="Times New Roman" w:hAnsi="Times New Roman"/>
          <w:sz w:val="20"/>
        </w:rPr>
        <w:t xml:space="preserve">will include any legal or other fees or expenses reasonably incurred by such Indemnified Person in connection with investigating, preparing to defend or defending the related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Issuers and the Holders agree that it would not be just and equitable if contribution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were determined by pro rata allocation (even if the Holders were treated as one Person, or the Issuers were treated as one Person, for such purpose) or by any other allocation method that does not take account of the equitable considerations referred to in the preceding paragraph. Notwithstanding anything to the contrary in the preceding paragraph, no Holder will be required to contribute any amount in excess of the amount by which the proceeds received by such Holder (less any related discounts, commissions, transfer taxes, fees or other expenses) from the sale of Registrable Securities pursuant to any Resale Registration Statement exceeds the amount of any damage that such Holder has otherwise been required to pay by reason of the relevant Material Disclosure Defect or alleged Material Disclosure Defect, or the relevant action or non-action, as applicable. No Person guilty of fraudulent misrepresentation (within the meaning of Section 11(f) of the Securities Act) will be entitled to contribution from any Person who was not guilty of such fraudulent misrepresentation. The Holders’ obligations to contribute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are several and not joint.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9(d)</w:t>
      </w:r>
      <w:r>
        <w:rPr>
          <w:rFonts w:ascii="Times New Roman" w:hAnsi="Times New Roman"/>
          <w:sz w:val="20"/>
        </w:rPr>
        <w:t xml:space="preserve"> will impose any obligation on any Initial Purchaser acting in its capacity as such in connection with the offering of the Initial Notes.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Remedies Not Exclusive</w:t>
      </w:r>
      <w:r>
        <w:rPr>
          <w:rFonts w:ascii="Times New Roman" w:hAnsi="Times New Roman"/>
          <w:sz w:val="20"/>
        </w:rPr>
        <w:t xml:space="preserve">. The remedies provided for in this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are not exclusive and will not limit, and will be in addition to,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SUBSEQUENT HOLDERS</w:t>
      </w:r>
      <w:r>
        <w:rPr>
          <w:rFonts w:ascii="Times New Roman" w:hAnsi="Times New Roman"/>
          <w:sz w:val="20"/>
        </w:rPr>
        <w:t xml:space="preserve">. Each Person that acquires any Registrable Securities from any Holder will, to the extent such securities continue to constitute Registrable Securities in the hands of such Person, become a Holder until such time as such person thereafter ceases to satisfy the definition of such term.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The Issuers will send all notices or communications to any Holder pursuant to this Agreement either (a) in writing by first class mail, certified or registered, return receipt requested, or by overnight air courier guaranteeing next day delivery, to such Holder’s address as set forth in the latest Notice and Questionnaire of such Notice Holder delivered to the Company (or, if such Holder has not delivered any Notice and Questionnaire, as set forth in the Company’s registrar); or (b) by email to the email address specified in such Notice and Questionnaire (which email will be deemed to constitute notice in writing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communication by any Holder to any Issuer will be deemed to have been duly given if in writing by first class mail, certified or registered, return receipt requested, or by overnight air courier guaranteeing next day delivery, to offices of the Company at the following address (or at such other address as may be hereafter specified by notice to the Holders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Piedmont Operating Partnership, LP </w:t>
      </w:r>
    </w:p>
    <w:p>
      <w:pPr>
        <w:pStyle w:val="TextBody"/>
        <w:bidi w:val="0"/>
        <w:spacing w:before="0" w:after="0"/>
        <w:jc w:val="left"/>
        <w:rPr>
          <w:rFonts w:ascii="Times New Roman" w:hAnsi="Times New Roman"/>
          <w:sz w:val="20"/>
        </w:rPr>
      </w:pPr>
      <w:r>
        <w:rPr>
          <w:rFonts w:ascii="Times New Roman" w:hAnsi="Times New Roman"/>
          <w:sz w:val="20"/>
        </w:rPr>
        <w:t xml:space="preserve">5565 Glenridge Connector Suite 450 </w:t>
      </w:r>
    </w:p>
    <w:p>
      <w:pPr>
        <w:pStyle w:val="TextBody"/>
        <w:bidi w:val="0"/>
        <w:spacing w:before="0" w:after="0"/>
        <w:jc w:val="left"/>
        <w:rPr>
          <w:rFonts w:ascii="Times New Roman" w:hAnsi="Times New Roman"/>
          <w:sz w:val="20"/>
        </w:rPr>
      </w:pPr>
      <w:r>
        <w:rPr>
          <w:rFonts w:ascii="Times New Roman" w:hAnsi="Times New Roman"/>
          <w:sz w:val="20"/>
        </w:rPr>
        <w:t xml:space="preserve">Atlanta, GA 30342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King &amp; Spalding LLP </w:t>
      </w:r>
    </w:p>
    <w:p>
      <w:pPr>
        <w:pStyle w:val="TextBody"/>
        <w:bidi w:val="0"/>
        <w:spacing w:before="0" w:after="0"/>
        <w:jc w:val="left"/>
        <w:rPr>
          <w:rFonts w:ascii="Times New Roman" w:hAnsi="Times New Roman"/>
          <w:sz w:val="20"/>
        </w:rPr>
      </w:pPr>
      <w:r>
        <w:rPr>
          <w:rFonts w:ascii="Times New Roman" w:hAnsi="Times New Roman"/>
          <w:sz w:val="20"/>
        </w:rPr>
        <w:t xml:space="preserve">1180 Peachtree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Atlanta, GA 30309 </w:t>
      </w:r>
    </w:p>
    <w:p>
      <w:pPr>
        <w:pStyle w:val="TextBody"/>
        <w:bidi w:val="0"/>
        <w:spacing w:before="0" w:after="0"/>
        <w:jc w:val="left"/>
        <w:rPr>
          <w:rFonts w:ascii="Times New Roman" w:hAnsi="Times New Roman"/>
          <w:sz w:val="20"/>
        </w:rPr>
      </w:pPr>
      <w:r>
        <w:rPr>
          <w:rFonts w:ascii="Times New Roman" w:hAnsi="Times New Roman"/>
          <w:sz w:val="20"/>
        </w:rPr>
        <w:t xml:space="preserve">Attention: Keith Townsend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Amendments and Waivers</w:t>
      </w:r>
      <w:r>
        <w:rPr>
          <w:rFonts w:ascii="Times New Roman" w:hAnsi="Times New Roman"/>
          <w:sz w:val="20"/>
        </w:rPr>
        <w:t xml:space="preserve">. This Agreement, or any provision of this Agreement, may be amended, modified, waived or superseded only by a written instrument that is executed by each of the Issuers and by one or more Holders whose aggregate As-Exchanged Note Ownership Percentage exceeds fifty percent (50%), and any such amendment, modification, waiver or supersession so executed will be binding upon the Issuers and all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 amendment, modification, waiver or supersession of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(including the events that constitute a Registration Default Event) or this </w:t>
      </w:r>
      <w:r>
        <w:rPr>
          <w:rFonts w:ascii="Times New Roman" w:hAnsi="Times New Roman"/>
          <w:b/>
          <w:sz w:val="20"/>
        </w:rPr>
        <w:t>Section</w:t>
      </w:r>
      <w:r>
        <w:rPr>
          <w:rFonts w:ascii="Times New Roman" w:hAnsi="Times New Roman"/>
          <w:sz w:val="20"/>
        </w:rPr>
        <w:t> </w:t>
      </w:r>
      <w:r>
        <w:rPr>
          <w:rFonts w:ascii="Times New Roman" w:hAnsi="Times New Roman"/>
          <w:b/>
          <w:sz w:val="20"/>
        </w:rPr>
        <w:t>11(b)</w:t>
      </w:r>
      <w:r>
        <w:rPr>
          <w:rFonts w:ascii="Times New Roman" w:hAnsi="Times New Roman"/>
          <w:sz w:val="20"/>
        </w:rPr>
        <w:t xml:space="preserve">, or any related definitions, will be effective as to any Holder or any Initial Purchaser unless reflected in a written instrument executed by such Holder or such Initial Purchaser, as applicable; (ii) a waiver with respect to any particular Holder’s rights under this Agreement will be effective as to such Holder if reflected in a written instrument executed by such Holder, </w:t>
      </w:r>
      <w:r>
        <w:rPr>
          <w:rFonts w:ascii="Times New Roman" w:hAnsi="Times New Roman"/>
          <w:i/>
          <w:sz w:val="20"/>
        </w:rPr>
        <w:t>provided</w:t>
      </w:r>
      <w:r>
        <w:rPr>
          <w:rFonts w:ascii="Times New Roman" w:hAnsi="Times New Roman"/>
          <w:sz w:val="20"/>
        </w:rPr>
        <w:t xml:space="preserve"> such waiver does not adversely affect the rights of any other Holder; and (iii) no amendment, modification, waiver or supersession that affects any rights of any Initial Purchaser will be effective as to such Initial Purchaser unless reflected in a written instrument executed by such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any such amendment, modification, waiver or supersession is executed by Holders of the requisite number of securities, the Issuers may, absent manifest error, conclusively rely on information contained in the Company’s registrar or in any Notice and Questionnaire.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the Issuers will have the right to amend or supplement this Agreement, or any provision of this Agreement, without the consent of any Holder or any Initial Purchaser, to (i) conform the provisions of this Agreement to the “Description of Notes—Registration Rights; Additional Interest; Maturity Premium” section of the Issuers’ preliminary offering memorandum, dated September 14, 2026, as supplemented by the related pricing term sheet, dated September 14, 2026, relating to the initial offering of the Initial Notes; or (ii) evidence the assumption, by a successor Issuer, of the obligations of the predecessor Issuer under this Agreement (and, if applicable, the discharge of the predecessor Issuer from its obligations under this Agreement)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11(g)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on the part of any party in exercising any right, power or privilege pursuant to this Agreement will operate as a waiver thereof, and no waiver, or single or partial exercise of, any such right, power or privilege will preclude any other or further exercise thereof or the exercise of any other right, power or privilege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 Party Beneficiaries</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this Agreement will be binding on, inure to the benefit of and be enforceable by, each Holder and its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Governing Law; Waiver of Jury Trial</w:t>
      </w:r>
      <w:r>
        <w:rPr>
          <w:rFonts w:ascii="Times New Roman" w:hAnsi="Times New Roman"/>
          <w:sz w:val="20"/>
        </w:rPr>
        <w:t xml:space="preserve">. THIS AGREEMENT, AND ANY CLAIM, CONTROVERSY OR DISPUTE ARISING UNDER OR RELATED TO THIS AGREEMENT, WILL BE GOVERNED BY AND CONSTRUED IN ACCORDANCE WITH THE LAWS OF THE STATE OF NEW YORK. EACH OF THE ISSUERS AND EACH INITIAL PURCHASER IRREVOCABLY WAIVES, TO THE FULLEST EXTENT PERMITTED BY APPLICABLE LAW, ANY AND ALL RIGHT TO TRIAL BY JURY IN ANY LEGAL PROCEEDING ARISING OUT OF OR RELATING TO THIS AGREEMENT OR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Submission to Jurisdiction</w:t>
      </w:r>
      <w:r>
        <w:rPr>
          <w:rFonts w:ascii="Times New Roman" w:hAnsi="Times New Roman"/>
          <w:sz w:val="20"/>
        </w:rPr>
        <w:t>. Any legal suit, action or proceeding arising out of or based upon this Agreement or the transactions contemplated by this Agreement may be instituted in the federal courts of the United States of America located in the City of New York or the courts of the State of New York, in each case located in the City of New York (collectively, the “</w:t>
      </w:r>
      <w:r>
        <w:rPr>
          <w:rFonts w:ascii="Times New Roman" w:hAnsi="Times New Roman"/>
          <w:b/>
          <w:sz w:val="20"/>
        </w:rPr>
        <w:t>Specified Courts</w:t>
      </w:r>
      <w:r>
        <w:rPr>
          <w:rFonts w:ascii="Times New Roman" w:hAnsi="Times New Roman"/>
          <w:sz w:val="20"/>
        </w:rPr>
        <w:t xml:space="preserve">”), and each of the Issuers, each Initial Purchaser and each Holder irrevocably submits to the non-exclusive jurisdiction of such courts in any such suit, action or proceeding. Service of any process, summons, notice or document by mail (to the extent allowed under any applicable statute or rule of court) to the address of the relevant party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11(a)</w:t>
      </w:r>
      <w:r>
        <w:rPr>
          <w:rFonts w:ascii="Times New Roman" w:hAnsi="Times New Roman"/>
          <w:sz w:val="20"/>
        </w:rPr>
        <w:t xml:space="preserve"> will be effective service of process for any such suit, action or proceeding brought in any such court. Each of the Issuers, each Initial Purchaser and each Holder (by its execution and delivery of this Agreement, a joinder to this Agreement or a Notice and Questionnaire)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Adverse Interpretation of Other Agreements</w:t>
      </w:r>
      <w:r>
        <w:rPr>
          <w:rFonts w:ascii="Times New Roman" w:hAnsi="Times New Roman"/>
          <w:sz w:val="20"/>
        </w:rPr>
        <w:t xml:space="preserve">. This Agreement may not be used to interpret any other agreement of any Issuer or its subsidiaries or of any other Person, and (except to the extent that any terms of the Indenture are referenced in this Agreement) no such agreement may be used to interpret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Successors</w:t>
      </w:r>
      <w:r>
        <w:rPr>
          <w:rFonts w:ascii="Times New Roman" w:hAnsi="Times New Roman"/>
          <w:sz w:val="20"/>
        </w:rPr>
        <w:t xml:space="preserve">. All agreements of the Issuers in this Agreement will bind their respective successors. Without limiting the generality of the preceding sentence, the provisions set forth in Article 6 (Successors) and Section 9.04 (When the Parent Guarantor May Merge, Etc.) of the Indenture, insofar as they relate to the assumption, by a successor Issuer, of the obligations of the predecessor Issuer under this Agreement (and, if applicable, the discharge of the predecessor Issuer from its obligations under this Agreement) will apply to this Agreement with the same force and effect as if the same were reproduced in this </w:t>
      </w:r>
      <w:r>
        <w:rPr>
          <w:rFonts w:ascii="Times New Roman" w:hAnsi="Times New Roman"/>
          <w:b/>
          <w:sz w:val="20"/>
        </w:rPr>
        <w:t>Section</w:t>
      </w:r>
      <w:r>
        <w:rPr>
          <w:rFonts w:ascii="Times New Roman" w:hAnsi="Times New Roman"/>
          <w:sz w:val="20"/>
        </w:rPr>
        <w:t> </w:t>
      </w:r>
      <w:r>
        <w:rPr>
          <w:rFonts w:ascii="Times New Roman" w:hAnsi="Times New Roman"/>
          <w:b/>
          <w:sz w:val="20"/>
        </w:rPr>
        <w:t>11(g)</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Severability</w:t>
      </w:r>
      <w:r>
        <w:rPr>
          <w:rFonts w:ascii="Times New Roman" w:hAnsi="Times New Roman"/>
          <w:sz w:val="20"/>
        </w:rPr>
        <w:t xml:space="preserve">. If any provision of this Agreement is invalid, illegal or unenforceable, then the validity, legality and enforceability of the remaining provisions of this Agreement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Counterparts</w:t>
      </w:r>
      <w:r>
        <w:rPr>
          <w:rFonts w:ascii="Times New Roman" w:hAnsi="Times New Roman"/>
          <w:sz w:val="20"/>
        </w:rPr>
        <w:t xml:space="preserve">. The parties may sign any number of copies of this Agreement. Each signed copy will be an original, and all of them together represent the same agreement. Delivery of an executed counterpart of this Agreement by facsimile, electronically in portable document format or in any other format will be effective as delivery of a manually executed counterpart.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Table of Contents, Headings, Etc</w:t>
      </w:r>
      <w:r>
        <w:rPr>
          <w:rFonts w:ascii="Times New Roman" w:hAnsi="Times New Roman"/>
          <w:sz w:val="20"/>
        </w:rPr>
        <w:t xml:space="preserve">. The table of contents and the headings of the Sections and Subsections of this Agreement have been inserted for convenience of reference only, are not to be considered a part of this Agreement and will in no way modify or restrict any of the terms or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Entire Agreement</w:t>
      </w:r>
      <w:r>
        <w:rPr>
          <w:rFonts w:ascii="Times New Roman" w:hAnsi="Times New Roman"/>
          <w:sz w:val="20"/>
        </w:rPr>
        <w:t xml:space="preserve">. This Agreement, including </w:t>
      </w:r>
      <w:r>
        <w:rPr>
          <w:rFonts w:ascii="Times New Roman" w:hAnsi="Times New Roman"/>
          <w:b/>
          <w:sz w:val="20"/>
        </w:rPr>
        <w:t>Exhibit A</w:t>
      </w:r>
      <w:r>
        <w:rPr>
          <w:rFonts w:ascii="Times New Roman" w:hAnsi="Times New Roman"/>
          <w:sz w:val="20"/>
        </w:rPr>
        <w:t xml:space="preserve">, constitutes the entire agreement of the parties with respect to the specific subject matter of this Agreement and supersedes in their entirety all other agreements or understandings (whether written or oral) between or among the parties with respect to such specific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Specific Performance</w:t>
      </w:r>
      <w:r>
        <w:rPr>
          <w:rFonts w:ascii="Times New Roman" w:hAnsi="Times New Roman"/>
          <w:sz w:val="20"/>
        </w:rPr>
        <w:t xml:space="preserve">. Each Issuer (a) agrees that any failure by it to comply with its obligations under this Agreement may result in material irreparable injury to the Notice Holders for which there is no adequate remedy at law, and, that upon any such failure, any Notice Holder may obtain such relief as may be required to specifically enforce such Issuer’s obligations under this Agreement; and (b) hereby waives the defense in any action for specific performance that a remedy at law would be adequate.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The Remainder of This Page Intentionally Left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to this Agreement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w:t>
            </w:r>
            <w:r>
              <w:rPr>
                <w:sz w:val="20"/>
              </w:rPr>
              <w:t>IEDMONT</w:t>
            </w:r>
            <w:r>
              <w:rPr/>
              <w:t xml:space="preserve"> O</w:t>
            </w:r>
            <w:r>
              <w:rPr>
                <w:sz w:val="20"/>
              </w:rPr>
              <w:t>PERATING</w:t>
            </w:r>
            <w:r>
              <w:rPr/>
              <w:t xml:space="preserve"> P</w:t>
            </w:r>
            <w:r>
              <w:rPr>
                <w:sz w:val="20"/>
              </w:rPr>
              <w:t>ARTNERSHIP</w:t>
            </w:r>
            <w:r>
              <w:rPr/>
              <w:t>, L</w:t>
            </w:r>
            <w:r>
              <w:rPr>
                <w:sz w:val="20"/>
              </w:rPr>
              <w:t>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Piedmont Realty Trust, Inc., its General Partner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Sherry L. Rexroad</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 Sherry L. Rexroad</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 Executive Vice President, Chief Financial Officer and Corproate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w:t>
            </w:r>
            <w:r>
              <w:rPr>
                <w:sz w:val="20"/>
              </w:rPr>
              <w:t>IEDMONT</w:t>
            </w:r>
            <w:r>
              <w:rPr/>
              <w:t xml:space="preserve"> R</w:t>
            </w:r>
            <w:r>
              <w:rPr>
                <w:sz w:val="20"/>
              </w:rPr>
              <w:t>EALTY</w:t>
            </w:r>
            <w:r>
              <w:rPr/>
              <w:t xml:space="preserve"> T</w:t>
            </w:r>
            <w:r>
              <w:rPr>
                <w:sz w:val="20"/>
              </w:rPr>
              <w:t>RUST</w:t>
            </w:r>
            <w:r>
              <w:rPr/>
              <w:t>, I</w:t>
            </w:r>
            <w:r>
              <w:rPr>
                <w:sz w:val="20"/>
              </w:rPr>
              <w:t>NC</w:t>
            </w:r>
            <w:r>
              <w:rPr/>
              <w:t>.</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Sherry L. Rexroad</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 Sherry L. Rexroad</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 Executive Vice President, Chief Financial Officer and Corproate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w:t>
            </w:r>
            <w:r>
              <w:rPr>
                <w:sz w:val="20"/>
              </w:rPr>
              <w:t>ORGAN</w:t>
            </w:r>
            <w:r>
              <w:rPr/>
              <w:t xml:space="preserve"> S</w:t>
            </w:r>
            <w:r>
              <w:rPr>
                <w:sz w:val="20"/>
              </w:rPr>
              <w:t>ECURITIES</w:t>
            </w:r>
            <w:r>
              <w:rPr/>
              <w:t xml:space="preserve"> LLC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Laurel Zhang</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Laurel Zhang</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Mike Connor</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Mike Connor</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Securities, Inc.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Kate Alexander</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Kate Alexander</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i/>
                <w:sz w:val="20"/>
              </w:rPr>
            </w:pPr>
            <w:r>
              <w:rPr>
                <w:rFonts w:ascii="Times New Roman" w:hAnsi="Times New Roman"/>
                <w:i/>
                <w:sz w:val="20"/>
              </w:rPr>
              <w:t>As Representatives of the Several Initial Purchasers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AND QUESTIONNAIRE </w:t>
      </w:r>
    </w:p>
    <w:p>
      <w:pPr>
        <w:pStyle w:val="TextBody"/>
        <w:bidi w:val="0"/>
        <w:spacing w:before="240" w:after="0"/>
        <w:jc w:val="left"/>
        <w:rPr>
          <w:rFonts w:ascii="Times New Roman" w:hAnsi="Times New Roman"/>
          <w:sz w:val="20"/>
        </w:rPr>
      </w:pPr>
      <w:r>
        <w:rPr>
          <w:rFonts w:ascii="Times New Roman" w:hAnsi="Times New Roman"/>
          <w:sz w:val="20"/>
        </w:rPr>
        <w:t>The undersigned (the “</w:t>
      </w:r>
      <w:r>
        <w:rPr>
          <w:rFonts w:ascii="Times New Roman" w:hAnsi="Times New Roman"/>
          <w:b/>
          <w:sz w:val="20"/>
        </w:rPr>
        <w:t>Selling Securityholder</w:t>
      </w:r>
      <w:r>
        <w:rPr>
          <w:rFonts w:ascii="Times New Roman" w:hAnsi="Times New Roman"/>
          <w:sz w:val="20"/>
        </w:rPr>
        <w:t>”) beneficial holder of 2.875% Exchangeable Senior Notes due 2031 (the “</w:t>
      </w:r>
      <w:r>
        <w:rPr>
          <w:rFonts w:ascii="Times New Roman" w:hAnsi="Times New Roman"/>
          <w:b/>
          <w:sz w:val="20"/>
        </w:rPr>
        <w:t>Notes</w:t>
      </w:r>
      <w:r>
        <w:rPr>
          <w:rFonts w:ascii="Times New Roman" w:hAnsi="Times New Roman"/>
          <w:sz w:val="20"/>
        </w:rPr>
        <w:t>”) of Piedmont Operating Partnership, LP, a Delaware limited partnership (the “</w:t>
      </w:r>
      <w:r>
        <w:rPr>
          <w:rFonts w:ascii="Times New Roman" w:hAnsi="Times New Roman"/>
          <w:b/>
          <w:sz w:val="20"/>
        </w:rPr>
        <w:t>Company</w:t>
      </w:r>
      <w:r>
        <w:rPr>
          <w:rFonts w:ascii="Times New Roman" w:hAnsi="Times New Roman"/>
          <w:sz w:val="20"/>
        </w:rPr>
        <w:t>”), and the related guarantee of Piedmont Realty Trust, Inc., a Maryland corporation (the “</w:t>
      </w:r>
      <w:r>
        <w:rPr>
          <w:rFonts w:ascii="Times New Roman" w:hAnsi="Times New Roman"/>
          <w:b/>
          <w:sz w:val="20"/>
        </w:rPr>
        <w:t>Parent Guarantor</w:t>
      </w:r>
      <w:r>
        <w:rPr>
          <w:rFonts w:ascii="Times New Roman" w:hAnsi="Times New Roman"/>
          <w:sz w:val="20"/>
        </w:rPr>
        <w:t>,” and, together with the Company, the “</w:t>
      </w:r>
      <w:r>
        <w:rPr>
          <w:rFonts w:ascii="Times New Roman" w:hAnsi="Times New Roman"/>
          <w:b/>
          <w:sz w:val="20"/>
        </w:rPr>
        <w:t>Issuers</w:t>
      </w:r>
      <w:r>
        <w:rPr>
          <w:rFonts w:ascii="Times New Roman" w:hAnsi="Times New Roman"/>
          <w:sz w:val="20"/>
        </w:rPr>
        <w:t>”), or of the Parent Guarantor’s common stock, $0.01 par value per share (the “</w:t>
      </w:r>
      <w:r>
        <w:rPr>
          <w:rFonts w:ascii="Times New Roman" w:hAnsi="Times New Roman"/>
          <w:b/>
          <w:sz w:val="20"/>
        </w:rPr>
        <w:t>Common Stock</w:t>
      </w:r>
      <w:r>
        <w:rPr>
          <w:rFonts w:ascii="Times New Roman" w:hAnsi="Times New Roman"/>
          <w:sz w:val="20"/>
        </w:rPr>
        <w:t>”), or of other Registrable Securities (as defined in the Registration Rights Agreement referred to below) understands that the Parent Guarantor has filed, or intends to file, with the Securities and Exchange Commission (the “</w:t>
      </w:r>
      <w:r>
        <w:rPr>
          <w:rFonts w:ascii="Times New Roman" w:hAnsi="Times New Roman"/>
          <w:b/>
          <w:sz w:val="20"/>
        </w:rPr>
        <w:t>SEC</w:t>
      </w:r>
      <w:r>
        <w:rPr>
          <w:rFonts w:ascii="Times New Roman" w:hAnsi="Times New Roman"/>
          <w:sz w:val="20"/>
        </w:rPr>
        <w:t>”) a registration statement (the “</w:t>
      </w:r>
      <w:r>
        <w:rPr>
          <w:rFonts w:ascii="Times New Roman" w:hAnsi="Times New Roman"/>
          <w:b/>
          <w:sz w:val="20"/>
        </w:rPr>
        <w:t>Resale Registration Statement</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to register the resale of Registrable Securities, in accordance with the terms of the Registration Rights Agreement, dated as of September 17, 2026 (the “</w:t>
      </w:r>
      <w:r>
        <w:rPr>
          <w:rFonts w:ascii="Times New Roman" w:hAnsi="Times New Roman"/>
          <w:b/>
          <w:sz w:val="20"/>
        </w:rPr>
        <w:t>Registration Rights Agreement</w:t>
      </w:r>
      <w:r>
        <w:rPr>
          <w:rFonts w:ascii="Times New Roman" w:hAnsi="Times New Roman"/>
          <w:sz w:val="20"/>
        </w:rPr>
        <w:t xml:space="preserve">”), among the Company, the Parent Guarantor and the initial purchasers named therein. The Company will provide a copy of the Registration Rights Agreement upon request at the address set forth below. All capitalized terms used in this Notice and Questionnaire without definition have the respective meanings given to them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To sell or otherwise dispose of any Registrable Securities pursuant to the Resale Registration Statement, the beneficial owner of those Registrable Securities generally must be named as a selling securityholder in the related prospectus or prospectus supplement, deliver a prospectus to the purchasers of the Registrable Securities and be bound by those provisions of the Registration Rights Agreement applicable to such beneficial owner (including certain indemnification provisions, as described below). Beneficial owners that do not complete this Notice and Questionnaire and deliver it to the Company as provided below will not be named as selling securityholders in the prospectus and will not be permitted to sell any Registrable Securities pursuant to the Resale Registration Statement. Beneficial owners are encouraged to complete and deliver this Notice and Questionnaire as soon as possible. </w:t>
      </w:r>
    </w:p>
    <w:p>
      <w:pPr>
        <w:pStyle w:val="TextBody"/>
        <w:bidi w:val="0"/>
        <w:spacing w:before="240" w:after="0"/>
        <w:jc w:val="left"/>
        <w:rPr>
          <w:rFonts w:ascii="Times New Roman" w:hAnsi="Times New Roman"/>
          <w:sz w:val="20"/>
        </w:rPr>
      </w:pPr>
      <w:r>
        <w:rPr>
          <w:rFonts w:ascii="Times New Roman" w:hAnsi="Times New Roman"/>
          <w:sz w:val="20"/>
        </w:rPr>
        <w:t xml:space="preserve">Certain legal consequences arise from being named as a selling securityholder in the Resale Registration Statement and the related prospectus. Accordingly, registered holders and beneficial owners of Registrable Securities should consult their legal counsel regarding the consequences of being named or not being named as a selling securityholder in the Resale Registration Statement and the related 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 xml:space="preserve">By signing and returning this Notice and Questionnaire, the Selling Securityholder: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notifies the Issuers of its intention to sell or otherwise dispose of Registrable Securities beneficially owned by it and listed below in Item 3 (except as otherwise specified under such Item 3) pursuant to the Resale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agrees to be bound by the terms and conditions of this Notice and Questionnaire and the Registration Rights Agreement. </w:t>
            </w:r>
          </w:p>
        </w:tc>
      </w:tr>
    </w:tbl>
    <w:p>
      <w:pPr>
        <w:pStyle w:val="TextBody"/>
        <w:bidi w:val="0"/>
        <w:spacing w:before="240" w:after="0"/>
        <w:jc w:val="left"/>
        <w:rPr>
          <w:rFonts w:ascii="Times New Roman" w:hAnsi="Times New Roman"/>
          <w:sz w:val="20"/>
        </w:rPr>
      </w:pPr>
      <w:r>
        <w:rPr>
          <w:rFonts w:ascii="Times New Roman" w:hAnsi="Times New Roman"/>
          <w:sz w:val="20"/>
        </w:rPr>
        <w:t>Pursuant to the Registration Rights Agreement, the Selling Securityholder has agreed to indemnify and hold harmless the Issuers and their respective affiliates, the partners, directors, officers, members, stockholders, employees, advisors or other representatives of the Issuers and their respective affiliates, and each person, if any, who controls either Issuer within the meaning of Section 15 of the Securities Act or Section 20 of the Securities Exchange Act of 1934, as amended (the “</w:t>
      </w:r>
      <w:r>
        <w:rPr>
          <w:rFonts w:ascii="Times New Roman" w:hAnsi="Times New Roman"/>
          <w:b/>
          <w:sz w:val="20"/>
        </w:rPr>
        <w:t>Exchange Act</w:t>
      </w:r>
      <w:r>
        <w:rPr>
          <w:rFonts w:ascii="Times New Roman" w:hAnsi="Times New Roman"/>
          <w:sz w:val="20"/>
        </w:rPr>
        <w:t xml:space="preserve">”), from and against certain claims and losses arising in connection with (i) sales by the Selling Securityholder of Registrable Securities pursuant to the Resale Registration Statement either (x) during a Blackout Period of which the Parent Guarantor has provided notice to the Selling Securityholder; or (y) without delivering, if required by the Securities Act, the most recent prospectus relating to the Resale Registration Statement; or (ii) statements or omissions concerning the Selling Securityholder made in the Resale Registration Statement or the related prospectus in reliance upon the information provided in this Notice and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Securityholder hereby provides the following information to the Issuers and represents and warrants that such information is accurate and complete: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Selling Securityholder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the Selling Securityholder: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
        <w:gridCol w:w="101"/>
        <w:gridCol w:w="9492"/>
      </w:tblGrid>
      <w:tr>
        <w:trPr/>
        <w:tc>
          <w:tcPr>
            <w:tcW w:w="61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492" w:type="dxa"/>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49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Registrable Securities listed in Item 3(b) below are held in certificated form and not “in street name,” state the full legal name of the registered holder through which the Registrable Securities listed in Item 3(b) below are held: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
        <w:gridCol w:w="101"/>
        <w:gridCol w:w="9492"/>
      </w:tblGrid>
      <w:tr>
        <w:trPr/>
        <w:tc>
          <w:tcPr>
            <w:tcW w:w="61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492" w:type="dxa"/>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49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Registrable Securities listed in Item 3(b) below are held “in street name,” state the full legal name of the Depository Trust Company participant through which the Registrable Securities listed in Item 3(b) below are held: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 identification or social security number of the Selling Securityholder: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Address and Contact Information for Notices to the Selling Securityholder</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7"/>
        <w:gridCol w:w="102"/>
        <w:gridCol w:w="8676"/>
      </w:tblGrid>
      <w:tr>
        <w:trPr/>
        <w:tc>
          <w:tcPr>
            <w:tcW w:w="142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676" w:type="dxa"/>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c>
          <w:tcPr>
            <w:tcW w:w="102" w:type="dxa"/>
            <w:tcBorders/>
            <w:vAlign w:val="bottom"/>
          </w:tcPr>
          <w:p>
            <w:pPr>
              <w:pStyle w:val="TableContents"/>
              <w:bidi w:val="0"/>
              <w:spacing w:before="0" w:after="283"/>
              <w:jc w:val="left"/>
              <w:rPr/>
            </w:pPr>
            <w:r>
              <w:rPr/>
              <w:t> </w:t>
            </w:r>
          </w:p>
        </w:tc>
        <w:tc>
          <w:tcPr>
            <w:tcW w:w="8676" w:type="dxa"/>
            <w:tcBorders/>
          </w:tcPr>
          <w:p>
            <w:pPr>
              <w:pStyle w:val="TableContents"/>
              <w:pBdr>
                <w:bottom w:val="single" w:sz="2" w:space="1" w:color="000000"/>
              </w:pBdr>
              <w:bidi w:val="0"/>
              <w:spacing w:before="0" w:after="20"/>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Fax:</w:t>
            </w:r>
          </w:p>
        </w:tc>
        <w:tc>
          <w:tcPr>
            <w:tcW w:w="102" w:type="dxa"/>
            <w:tcBorders/>
            <w:vAlign w:val="bottom"/>
          </w:tcPr>
          <w:p>
            <w:pPr>
              <w:pStyle w:val="TableContents"/>
              <w:bidi w:val="0"/>
              <w:spacing w:before="0" w:after="283"/>
              <w:jc w:val="left"/>
              <w:rPr/>
            </w:pPr>
            <w:r>
              <w:rPr/>
              <w:t> </w:t>
            </w:r>
          </w:p>
        </w:tc>
        <w:tc>
          <w:tcPr>
            <w:tcW w:w="8676" w:type="dxa"/>
            <w:tcBorders/>
          </w:tcPr>
          <w:p>
            <w:pPr>
              <w:pStyle w:val="TableContents"/>
              <w:pBdr>
                <w:bottom w:val="single" w:sz="2" w:space="1" w:color="000000"/>
              </w:pBdr>
              <w:bidi w:val="0"/>
              <w:spacing w:before="0" w:after="20"/>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Email Address:</w:t>
            </w:r>
          </w:p>
        </w:tc>
        <w:tc>
          <w:tcPr>
            <w:tcW w:w="102" w:type="dxa"/>
            <w:tcBorders/>
            <w:vAlign w:val="bottom"/>
          </w:tcPr>
          <w:p>
            <w:pPr>
              <w:pStyle w:val="TableContents"/>
              <w:bidi w:val="0"/>
              <w:spacing w:before="0" w:after="283"/>
              <w:jc w:val="left"/>
              <w:rPr/>
            </w:pPr>
            <w:r>
              <w:rPr/>
              <w:t> </w:t>
            </w:r>
          </w:p>
        </w:tc>
        <w:tc>
          <w:tcPr>
            <w:tcW w:w="8676" w:type="dxa"/>
            <w:tcBorders/>
          </w:tcPr>
          <w:p>
            <w:pPr>
              <w:pStyle w:val="TableContents"/>
              <w:pBdr>
                <w:bottom w:val="single" w:sz="2" w:space="1" w:color="000000"/>
              </w:pBdr>
              <w:bidi w:val="0"/>
              <w:spacing w:before="0" w:after="20"/>
              <w:jc w:val="left"/>
              <w:rPr/>
            </w:pPr>
            <w:r>
              <w:rPr/>
              <w:t> </w:t>
            </w:r>
          </w:p>
        </w:tc>
      </w:tr>
      <w:tr>
        <w:trPr/>
        <w:tc>
          <w:tcPr>
            <w:tcW w:w="1427" w:type="dxa"/>
            <w:tcBorders/>
          </w:tcPr>
          <w:p>
            <w:pPr>
              <w:pStyle w:val="TableContents"/>
              <w:bidi w:val="0"/>
              <w:spacing w:before="0" w:after="0"/>
              <w:jc w:val="left"/>
              <w:rPr>
                <w:rFonts w:ascii="Times New Roman" w:hAnsi="Times New Roman"/>
                <w:sz w:val="20"/>
              </w:rPr>
            </w:pPr>
            <w:r>
              <w:rPr>
                <w:rFonts w:ascii="Times New Roman" w:hAnsi="Times New Roman"/>
                <w:sz w:val="20"/>
              </w:rPr>
              <w:t>Contact Person:</w:t>
            </w:r>
          </w:p>
        </w:tc>
        <w:tc>
          <w:tcPr>
            <w:tcW w:w="102" w:type="dxa"/>
            <w:tcBorders/>
            <w:vAlign w:val="bottom"/>
          </w:tcPr>
          <w:p>
            <w:pPr>
              <w:pStyle w:val="TableContents"/>
              <w:bidi w:val="0"/>
              <w:spacing w:before="0" w:after="283"/>
              <w:jc w:val="left"/>
              <w:rPr/>
            </w:pPr>
            <w:r>
              <w:rPr/>
              <w:t> </w:t>
            </w:r>
          </w:p>
        </w:tc>
        <w:tc>
          <w:tcPr>
            <w:tcW w:w="867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of Notes and Common Stock Issued Upon Exchange of Notes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each of the following that applies to the Selling Securityholder.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5"/>
        <w:gridCol w:w="163"/>
        <w:gridCol w:w="230"/>
        <w:gridCol w:w="163"/>
        <w:gridCol w:w="9184"/>
      </w:tblGrid>
      <w:tr>
        <w:trPr/>
        <w:tc>
          <w:tcPr>
            <w:tcW w:w="46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rPr/>
        <w:tc>
          <w:tcPr>
            <w:tcW w:w="4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6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pPr>
            <w:r>
              <w:rPr/>
              <w:t>☐</w:t>
            </w:r>
          </w:p>
        </w:tc>
        <w:tc>
          <w:tcPr>
            <w:tcW w:w="163" w:type="dxa"/>
            <w:tcBorders/>
            <w:vAlign w:val="bottom"/>
          </w:tcPr>
          <w:p>
            <w:pPr>
              <w:pStyle w:val="TableContents"/>
              <w:bidi w:val="0"/>
              <w:spacing w:before="0" w:after="283"/>
              <w:jc w:val="left"/>
              <w:rPr/>
            </w:pPr>
            <w:r>
              <w:rPr/>
              <w:t>  </w:t>
            </w:r>
          </w:p>
        </w:tc>
        <w:tc>
          <w:tcPr>
            <w:tcW w:w="9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Selling Securityholder owns Notes: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1"/>
        <w:gridCol w:w="8166"/>
      </w:tblGrid>
      <w:tr>
        <w:trPr/>
        <w:tc>
          <w:tcPr>
            <w:tcW w:w="19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w:t>
            </w:r>
          </w:p>
        </w:tc>
        <w:tc>
          <w:tcPr>
            <w:tcW w:w="101" w:type="dxa"/>
            <w:tcBorders/>
            <w:vAlign w:val="bottom"/>
          </w:tcPr>
          <w:p>
            <w:pPr>
              <w:pStyle w:val="TableContents"/>
              <w:bidi w:val="0"/>
              <w:spacing w:before="0" w:after="283"/>
              <w:jc w:val="left"/>
              <w:rPr/>
            </w:pPr>
            <w:r>
              <w:rPr/>
              <w:t> </w:t>
            </w:r>
          </w:p>
        </w:tc>
        <w:tc>
          <w:tcPr>
            <w:tcW w:w="8166" w:type="dxa"/>
            <w:tcBorders/>
          </w:tcPr>
          <w:p>
            <w:pPr>
              <w:pStyle w:val="TableContents"/>
              <w:pBdr>
                <w:bottom w:val="single" w:sz="2" w:space="1" w:color="000000"/>
              </w:pBdr>
              <w:bidi w:val="0"/>
              <w:spacing w:before="0" w:after="20"/>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CUSIP No(s). (If Any):</w:t>
            </w:r>
          </w:p>
        </w:tc>
        <w:tc>
          <w:tcPr>
            <w:tcW w:w="101" w:type="dxa"/>
            <w:tcBorders/>
            <w:vAlign w:val="bottom"/>
          </w:tcPr>
          <w:p>
            <w:pPr>
              <w:pStyle w:val="TableContents"/>
              <w:bidi w:val="0"/>
              <w:spacing w:before="0" w:after="283"/>
              <w:jc w:val="left"/>
              <w:rPr/>
            </w:pPr>
            <w:r>
              <w:rPr/>
              <w:t> </w:t>
            </w:r>
          </w:p>
        </w:tc>
        <w:tc>
          <w:tcPr>
            <w:tcW w:w="816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
        <w:gridCol w:w="164"/>
        <w:gridCol w:w="231"/>
        <w:gridCol w:w="164"/>
        <w:gridCol w:w="9172"/>
      </w:tblGrid>
      <w:tr>
        <w:trPr/>
        <w:tc>
          <w:tcPr>
            <w:tcW w:w="47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9172" w:type="dxa"/>
            <w:tcBorders/>
            <w:vAlign w:val="center"/>
          </w:tcPr>
          <w:p>
            <w:pPr>
              <w:pStyle w:val="TableContents"/>
              <w:bidi w:val="0"/>
              <w:spacing w:before="0" w:after="283"/>
              <w:jc w:val="left"/>
              <w:rPr>
                <w:sz w:val="4"/>
                <w:szCs w:val="4"/>
              </w:rPr>
            </w:pPr>
            <w:r>
              <w:rPr>
                <w:sz w:val="4"/>
                <w:szCs w:val="4"/>
              </w:rPr>
            </w:r>
          </w:p>
        </w:tc>
      </w:tr>
      <w:tr>
        <w:trPr/>
        <w:tc>
          <w:tcPr>
            <w:tcW w:w="4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6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0"/>
              <w:jc w:val="left"/>
              <w:rPr/>
            </w:pPr>
            <w:r>
              <w:rPr/>
              <w:t>☐</w:t>
            </w:r>
          </w:p>
        </w:tc>
        <w:tc>
          <w:tcPr>
            <w:tcW w:w="164" w:type="dxa"/>
            <w:tcBorders/>
            <w:vAlign w:val="bottom"/>
          </w:tcPr>
          <w:p>
            <w:pPr>
              <w:pStyle w:val="TableContents"/>
              <w:bidi w:val="0"/>
              <w:spacing w:before="0" w:after="283"/>
              <w:jc w:val="left"/>
              <w:rPr/>
            </w:pPr>
            <w:r>
              <w:rPr/>
              <w:t>  </w:t>
            </w:r>
          </w:p>
        </w:tc>
        <w:tc>
          <w:tcPr>
            <w:tcW w:w="91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Selling Securityholder owns shares of Common Stock that were issued upon exchange of the Notes: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2"/>
        <w:gridCol w:w="8165"/>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w:t>
            </w:r>
          </w:p>
        </w:tc>
        <w:tc>
          <w:tcPr>
            <w:tcW w:w="102" w:type="dxa"/>
            <w:tcBorders/>
            <w:vAlign w:val="bottom"/>
          </w:tcPr>
          <w:p>
            <w:pPr>
              <w:pStyle w:val="TableContents"/>
              <w:bidi w:val="0"/>
              <w:spacing w:before="0" w:after="283"/>
              <w:jc w:val="left"/>
              <w:rPr/>
            </w:pPr>
            <w:r>
              <w:rPr/>
              <w:t> </w:t>
            </w:r>
          </w:p>
        </w:tc>
        <w:tc>
          <w:tcPr>
            <w:tcW w:w="8165" w:type="dxa"/>
            <w:tcBorders/>
          </w:tcPr>
          <w:p>
            <w:pPr>
              <w:pStyle w:val="TableContents"/>
              <w:pBdr>
                <w:bottom w:val="single" w:sz="2" w:space="1" w:color="000000"/>
              </w:pBdr>
              <w:bidi w:val="0"/>
              <w:spacing w:before="0" w:after="20"/>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CUSIP No(s). (If Any):</w:t>
            </w:r>
          </w:p>
        </w:tc>
        <w:tc>
          <w:tcPr>
            <w:tcW w:w="102" w:type="dxa"/>
            <w:tcBorders/>
            <w:vAlign w:val="bottom"/>
          </w:tcPr>
          <w:p>
            <w:pPr>
              <w:pStyle w:val="TableContents"/>
              <w:bidi w:val="0"/>
              <w:spacing w:before="0" w:after="283"/>
              <w:jc w:val="left"/>
              <w:rPr/>
            </w:pPr>
            <w:r>
              <w:rPr/>
              <w:t> </w:t>
            </w:r>
          </w:p>
        </w:tc>
        <w:tc>
          <w:tcPr>
            <w:tcW w:w="816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Beneficial Ownership of Other Securities of either Issuer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in this Item 4, the Selling Securityholder is not the beneficial or registered owner of any securities of either Issuer other than the securities listed in Item 3 above. </w:t>
      </w:r>
    </w:p>
    <w:p>
      <w:pPr>
        <w:pStyle w:val="TextBody"/>
        <w:bidi w:val="0"/>
        <w:spacing w:before="120" w:after="0"/>
        <w:jc w:val="left"/>
        <w:rPr>
          <w:rFonts w:ascii="Times New Roman" w:hAnsi="Times New Roman"/>
          <w:sz w:val="20"/>
        </w:rPr>
      </w:pPr>
      <w:r>
        <w:rPr>
          <w:rFonts w:ascii="Times New Roman" w:hAnsi="Times New Roman"/>
          <w:sz w:val="20"/>
        </w:rPr>
        <w:t xml:space="preserve">Type and amount of other securities beneficially owned by the Selling Securityholder: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5"/>
        <w:gridCol w:w="120"/>
        <w:gridCol w:w="3313"/>
        <w:gridCol w:w="120"/>
        <w:gridCol w:w="3127"/>
      </w:tblGrid>
      <w:tr>
        <w:trPr/>
        <w:tc>
          <w:tcPr>
            <w:tcW w:w="3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r>
      <w:tr>
        <w:trPr/>
        <w:tc>
          <w:tcPr>
            <w:tcW w:w="3525" w:type="dxa"/>
            <w:tcBorders/>
          </w:tcPr>
          <w:p>
            <w:pPr>
              <w:pStyle w:val="TableContents"/>
              <w:bidi w:val="0"/>
              <w:spacing w:before="0" w:after="283"/>
              <w:jc w:val="left"/>
              <w:rPr/>
            </w:pPr>
            <w:r>
              <w:rPr/>
              <w:t>Title of Security</w:t>
            </w:r>
          </w:p>
        </w:tc>
        <w:tc>
          <w:tcPr>
            <w:tcW w:w="12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Amount Beneficially Owned</w:t>
            </w:r>
          </w:p>
        </w:tc>
        <w:tc>
          <w:tcPr>
            <w:tcW w:w="120" w:type="dxa"/>
            <w:tcBorders/>
            <w:vAlign w:val="bottom"/>
          </w:tcPr>
          <w:p>
            <w:pPr>
              <w:pStyle w:val="TableContents"/>
              <w:bidi w:val="0"/>
              <w:spacing w:before="0" w:after="283"/>
              <w:jc w:val="left"/>
              <w:rPr/>
            </w:pPr>
            <w:r>
              <w:rPr/>
              <w:t>  </w:t>
            </w:r>
          </w:p>
        </w:tc>
        <w:tc>
          <w:tcPr>
            <w:tcW w:w="3127" w:type="dxa"/>
            <w:tcBorders/>
          </w:tcPr>
          <w:p>
            <w:pPr>
              <w:pStyle w:val="TableContents"/>
              <w:bidi w:val="0"/>
              <w:spacing w:before="0" w:after="283"/>
              <w:jc w:val="left"/>
              <w:rPr/>
            </w:pPr>
            <w:r>
              <w:rPr/>
              <w:t>CUSIP No(s). (If Any)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Relationships with either Issuer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the Selling Securityholder or any of its affiliates, officers, directors or principal equity holders (owners of 5% or more of the equity securities of the Selling Securityholder) held any position or office or had any other material relationship with either Issuer (or its predecessors or affiliates) during the past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(a) above is “Yes,” then please state the nature and duration of the relationship: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Plan of Distribution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confirming the intended plan of distribution of the Registrable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Securityholder (including its donees and pledgees) does not intend to distribute the Registrable Securities listed in Item 3(b) above pursuant to the Resale Registration Statement except as follows (if at all):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Registrable Securities may be sold from time to time directly by the Selling Securityholder or, alternatively, through underwriters, broker-dealers or agents. If the Registrable Securities are sold through broker-dealers or agents, the Selling Securityholder will be responsible for underwriting discounts or commissions or agents’ commissions. The Registrable Securities may be sold in one or more transactions at fixed prices, at prevailing market prices at the time of sale, at varying prices determined at the time of sale or at negotiated prices. Such sales may be effected in transactions (which may involve block transactions) (1) on any national securities exchange or quotation service on which the Registrable Securities may be listed or quoted at the time of sale; (2) in the over-the-counter market; (3) otherwise than on such exchanges or services or in the over-the-counter market; or (4) through the writing of options. In connection with sales of the Registrable Securities or otherwise, the Selling Securityholder may enter into hedging transactions with broker-dealers, which may in turn engage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short sales of the Registrable Securities in the course of the hedging positions they assume. The Selling Securityholder may also sell Registrable Securities short and deliver Registrable Securities to close out short positions or loan or pledge Registrable Securities to broker-dealers that in turn may sell such securities. Notwithstanding anything to the contrary, in no event will the methods of distribution take the form of an underwritten offering of the Registrable Securities without the prior agreement of the Parent Guarantor.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Broker-Dealers and Their Affiliates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Parent Guarantor may have to identify the Selling Securityholder as an underwriter in the Resale Registration Statement or related prospectus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Securityholder is a broker-dealer and did not receive the Registrable Securities as compensation for underwriting activities or investment banking services or as investment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Securityholder is an affiliate of a broker-dealer and either (1) did not acquire the Registrable Securities in the ordinary course of business; or (2) at the time of its purchase of the Registrable Securities, had an agreement or understanding, directly or indirectly, with any person to distribute the Registrable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Persons identified as underwriters in the Resale Registration Statement or related prospectus may be subject to additional potential liabilities under the Securities Act and should consult their legal counsel before submitting this Notice and 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a broker-dealer registered pursuant to Section 15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(a) above is “No,” is the Selling Securityholder an “affiliate” of a broker-dealer that is registered pursuant to Section 15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Item 7(b), an “affiliate” of a registered broker-dealer includes any company that directly, or indirectly through one or more intermediaries, controls, or is controlled by, or is under common control with, such broker-dealer.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acquire the securities listed in Item 3 above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Selling Securityholder’s purchase of the securities listed in Item 3 above, did the Selling Securityholder have any agreements or understandings, directly or indirectly, with any person to distribute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(d) above is “Yes,” then please describe such agreements or understandings: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receive the securities listed in Item 3 above as compensation for underwriting activities or investment banking services or as investment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(f) above is “Yes,” then please describe the circumstances: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Nature of Beneficial Ownership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purpose of this section is to identify the ultimate natural person(s) or publicly held entity(ies) that exercise(s) sole or shared voting or dispositive power over the Registrable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a natural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required to file, or is it a wholly owned subsidiary of an entity that is required to file, periodic and other reports (for example, Forms 10-K, 10-Q and 8-K) with the SEC pursuant to Section 13(a)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Selling Securityholder an investment company, or a subsidiary of an investment company, registered under the Investment Company Act of 1940,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Selling Securityholder is a subsidiary of such an investment company, please identify the investment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9797"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9797"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below the name of each natural person or entity that has sole or shared investment or voting control over the securities listed in Item 3 above: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9797"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THE SEC REQUIRES THAT THESE NATURAL PERSONS AND ENTITIES BE NAMED IN THE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Received from Named Selling Securityholder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receive the Registrable Securities listed above in Item 3(b) as a transferee from selling securityholder(s) previously identified in the Resale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response to (a) above is “Yes,” then please answer the following two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the Selling Securityholder receive the Registrable Securities listed above in Item 3(b) from the named selling securityholder(s) prior to the effectiveness of the Resale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below the names of the selling securityholder(s) from whom the Selling Securityholder received the Registrable Securities listed above in Item 3(b) and the date on which such securities were received.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1"/>
        <w:gridCol w:w="9696"/>
      </w:tblGrid>
      <w:tr>
        <w:trPr/>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9797"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9797"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r>
        <w:trPr>
          <w:trHeight w:val="120" w:hRule="atLeast"/>
        </w:trPr>
        <w:tc>
          <w:tcPr>
            <w:tcW w:w="408" w:type="dxa"/>
            <w:tcBorders/>
            <w:vAlign w:val="center"/>
          </w:tcPr>
          <w:p>
            <w:pPr>
              <w:pStyle w:val="TableContents"/>
              <w:bidi w:val="0"/>
              <w:spacing w:before="0" w:after="283"/>
              <w:jc w:val="left"/>
              <w:rPr>
                <w:sz w:val="4"/>
                <w:szCs w:val="4"/>
              </w:rPr>
            </w:pPr>
            <w:r>
              <w:rPr>
                <w:sz w:val="4"/>
                <w:szCs w:val="4"/>
              </w:rPr>
            </w:r>
          </w:p>
        </w:tc>
        <w:tc>
          <w:tcPr>
            <w:tcW w:w="9797"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969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more space is needed for responses, then please attach additional sheets of paper. Please indicate the Selling Securityholder’s name and the number of the item being responded to on each such additional sheet of paper, and sign each such additional sheet of paper, before attaching it to this Notice and Questionnaire. The Selling Securityholder may be asked to answer additional questions depending on the responses to the above questions.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ACKNOWLEDGEMENTS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acknowledges its obligation to comply with the provisions of the Exchange Act and the rules thereunder relating to stock manipulation, particularly Regulation M thereunder (or any successor rules or regulations), in connection with any offer or sale of Registrable Securities. The Selling Securityholder agrees that neither it nor any person acting on its behalf will engage in any transaction in violation of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acknowledges its obligations under the Registration Rights Agreement to indemnify and hold harmless certain persons as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Issuers have agreed under certain circumstances to indemnify the Selling Securityholder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Selling Securityholder’s obligation under the Registration Rights Agreement to provide such information as may be required by law for inclusion in the Resale Registration Statement, the Selling Securityholder agrees to promptly notify the Company of any inaccuracies or changes in the information provided in this Notice and Questionnaire that may occur after the date of this Notice and Questionnaire at any time while the Resale Registration Statement remains effective. </w:t>
      </w:r>
    </w:p>
    <w:p>
      <w:pPr>
        <w:pStyle w:val="TextBody"/>
        <w:bidi w:val="0"/>
        <w:spacing w:before="240" w:after="0"/>
        <w:jc w:val="left"/>
        <w:rPr>
          <w:rFonts w:ascii="Times New Roman" w:hAnsi="Times New Roman"/>
          <w:sz w:val="20"/>
        </w:rPr>
      </w:pPr>
      <w:r>
        <w:rPr>
          <w:rFonts w:ascii="Times New Roman" w:hAnsi="Times New Roman"/>
          <w:sz w:val="20"/>
        </w:rPr>
        <w:t xml:space="preserve">Notices to the Selling Securityholder relating to this Notice and Questionnaire or pursuant to the Registration Rights Agreement will be made by email, or in writing, at the email or physical address set forth in Item 2 above.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Selling Securityholder consents to the disclosure of the information contained in this Notice and Questionnaire in its answers to Items 1 through 9 and the inclusion of such information in the Resale Registration Statement and the related prospectus. The Selling Securityholder understands that such information will be relied upon by the Issuers in connection with the preparation or amendment of the Resale Registration Statement and the related prospectus.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b/>
          <w:i/>
          <w:sz w:val="20"/>
        </w:rPr>
        <w:t>The Remainder of This Page Intentionally Left Blank; Signature Page Follows</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Securityholder has caused this Notice and Questionnaire to be executed and delivered either in person or by its duly authorized agent and thereby confirms that they are entitled to the benefits of, and be subject to the indemnification and other obligations under, the Registration Rights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05"/>
        <w:gridCol w:w="106"/>
        <w:gridCol w:w="394"/>
        <w:gridCol w:w="106"/>
        <w:gridCol w:w="1259"/>
        <w:gridCol w:w="106"/>
        <w:gridCol w:w="4029"/>
      </w:tblGrid>
      <w:tr>
        <w:trPr/>
        <w:tc>
          <w:tcPr>
            <w:tcW w:w="420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bidi w:val="0"/>
              <w:spacing w:before="0" w:after="283"/>
              <w:jc w:val="left"/>
              <w:rPr/>
            </w:pPr>
            <w:r>
              <w:rPr/>
              <w:t>Dated:__________</w:t>
            </w:r>
          </w:p>
        </w:tc>
        <w:tc>
          <w:tcPr>
            <w:tcW w:w="10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0"/>
              <w:jc w:val="left"/>
              <w:rPr>
                <w:rFonts w:ascii="Times New Roman" w:hAnsi="Times New Roman"/>
                <w:sz w:val="20"/>
              </w:rPr>
            </w:pPr>
            <w:r>
              <w:rPr>
                <w:rFonts w:ascii="Times New Roman" w:hAnsi="Times New Roman"/>
                <w:sz w:val="20"/>
              </w:rPr>
              <w:t>Legal Name of</w:t>
            </w:r>
          </w:p>
          <w:p>
            <w:pPr>
              <w:pStyle w:val="TableContents"/>
              <w:bidi w:val="0"/>
              <w:spacing w:before="0" w:after="0"/>
              <w:jc w:val="left"/>
              <w:rPr>
                <w:rFonts w:ascii="Times New Roman" w:hAnsi="Times New Roman"/>
                <w:sz w:val="20"/>
              </w:rPr>
            </w:pPr>
            <w:r>
              <w:rPr>
                <w:rFonts w:ascii="Times New Roman" w:hAnsi="Times New Roman"/>
                <w:sz w:val="20"/>
              </w:rPr>
              <w:t>Selling</w:t>
            </w:r>
          </w:p>
          <w:p>
            <w:pPr>
              <w:pStyle w:val="TableContents"/>
              <w:bidi w:val="0"/>
              <w:spacing w:before="0" w:after="20"/>
              <w:jc w:val="left"/>
              <w:rPr>
                <w:rFonts w:ascii="Times New Roman" w:hAnsi="Times New Roman"/>
                <w:sz w:val="20"/>
              </w:rPr>
            </w:pPr>
            <w:r>
              <w:rPr>
                <w:rFonts w:ascii="Times New Roman" w:hAnsi="Times New Roman"/>
                <w:sz w:val="20"/>
              </w:rPr>
              <w:t>Securityholder:</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29" w:type="dxa"/>
            <w:tcBorders>
              <w:bottom w:val="single" w:sz="2" w:space="0" w:color="000000"/>
            </w:tcBorders>
            <w:tcMar>
              <w:bottom w:w="28" w:type="dxa"/>
            </w:tcMar>
          </w:tcPr>
          <w:p>
            <w:pPr>
              <w:pStyle w:val="TableContents"/>
              <w:bidi w:val="0"/>
              <w:spacing w:before="0" w:after="283"/>
              <w:jc w:val="left"/>
              <w:rPr/>
            </w:pPr>
            <w:r>
              <w:rPr/>
              <w:t> </w:t>
            </w:r>
          </w:p>
        </w:tc>
      </w:tr>
      <w:tr>
        <w:trPr/>
        <w:tc>
          <w:tcPr>
            <w:tcW w:w="420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29" w:type="dxa"/>
            <w:tcBorders>
              <w:bottom w:val="single" w:sz="2" w:space="0" w:color="000000"/>
            </w:tcBorders>
            <w:tcMar>
              <w:bottom w:w="28" w:type="dxa"/>
            </w:tcMar>
          </w:tcPr>
          <w:p>
            <w:pPr>
              <w:pStyle w:val="TableContents"/>
              <w:bidi w:val="0"/>
              <w:spacing w:before="0" w:after="283"/>
              <w:jc w:val="left"/>
              <w:rPr/>
            </w:pPr>
            <w:r>
              <w:rPr/>
              <w:t> </w:t>
            </w:r>
          </w:p>
        </w:tc>
      </w:tr>
      <w:tr>
        <w:trPr/>
        <w:tc>
          <w:tcPr>
            <w:tcW w:w="420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Name:</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29" w:type="dxa"/>
            <w:tcBorders>
              <w:bottom w:val="single" w:sz="2" w:space="0" w:color="000000"/>
            </w:tcBorders>
            <w:tcMar>
              <w:bottom w:w="28" w:type="dxa"/>
            </w:tcMar>
          </w:tcPr>
          <w:p>
            <w:pPr>
              <w:pStyle w:val="TableContents"/>
              <w:bidi w:val="0"/>
              <w:spacing w:before="0" w:after="283"/>
              <w:jc w:val="left"/>
              <w:rPr/>
            </w:pPr>
            <w:r>
              <w:rPr/>
              <w:t> </w:t>
            </w:r>
          </w:p>
        </w:tc>
      </w:tr>
      <w:tr>
        <w:trPr/>
        <w:tc>
          <w:tcPr>
            <w:tcW w:w="420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Title:</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2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sz w:val="20"/>
        </w:rPr>
      </w:pPr>
      <w:r>
        <w:rPr>
          <w:rFonts w:ascii="Times New Roman" w:hAnsi="Times New Roman"/>
          <w:sz w:val="20"/>
        </w:rPr>
        <w:t xml:space="preserve">PLEASE RETURN THE COMPLETED AND EXECUTED NOTICE </w:t>
      </w:r>
    </w:p>
    <w:p>
      <w:pPr>
        <w:pStyle w:val="TextBody"/>
        <w:bidi w:val="0"/>
        <w:spacing w:before="0" w:after="0"/>
        <w:jc w:val="center"/>
        <w:rPr>
          <w:rFonts w:ascii="Times New Roman" w:hAnsi="Times New Roman"/>
          <w:sz w:val="20"/>
        </w:rPr>
      </w:pPr>
      <w:r>
        <w:rPr>
          <w:rFonts w:ascii="Times New Roman" w:hAnsi="Times New Roman"/>
          <w:sz w:val="20"/>
        </w:rPr>
        <w:t xml:space="preserve">AND QUESTIONNAIRE TO PIEDMONT OPERATING PARTNERSHIP, LP AT: </w:t>
      </w:r>
    </w:p>
    <w:p>
      <w:pPr>
        <w:pStyle w:val="TextBody"/>
        <w:bidi w:val="0"/>
        <w:spacing w:before="240" w:after="0"/>
        <w:jc w:val="center"/>
        <w:rPr>
          <w:rFonts w:ascii="Times New Roman" w:hAnsi="Times New Roman"/>
          <w:sz w:val="20"/>
        </w:rPr>
      </w:pPr>
      <w:r>
        <w:rPr>
          <w:rFonts w:ascii="Times New Roman" w:hAnsi="Times New Roman"/>
          <w:sz w:val="20"/>
        </w:rPr>
        <w:t xml:space="preserve">Piedmont Operating Partnership, LP </w:t>
      </w:r>
    </w:p>
    <w:p>
      <w:pPr>
        <w:pStyle w:val="TextBody"/>
        <w:bidi w:val="0"/>
        <w:spacing w:before="0" w:after="0"/>
        <w:jc w:val="center"/>
        <w:rPr>
          <w:rFonts w:ascii="Times New Roman" w:hAnsi="Times New Roman"/>
          <w:sz w:val="20"/>
        </w:rPr>
      </w:pPr>
      <w:r>
        <w:rPr>
          <w:rFonts w:ascii="Times New Roman" w:hAnsi="Times New Roman"/>
          <w:sz w:val="20"/>
        </w:rPr>
        <w:t xml:space="preserve">5565 Glenridge Connector Suite 450 </w:t>
      </w:r>
    </w:p>
    <w:p>
      <w:pPr>
        <w:pStyle w:val="TextBody"/>
        <w:bidi w:val="0"/>
        <w:spacing w:before="0" w:after="0"/>
        <w:jc w:val="center"/>
        <w:rPr>
          <w:rFonts w:ascii="Times New Roman" w:hAnsi="Times New Roman"/>
          <w:sz w:val="20"/>
        </w:rPr>
      </w:pPr>
      <w:r>
        <w:rPr>
          <w:rFonts w:ascii="Times New Roman" w:hAnsi="Times New Roman"/>
          <w:sz w:val="20"/>
        </w:rPr>
        <w:t xml:space="preserve">Atlanta, GA 30342 </w:t>
      </w:r>
    </w:p>
    <w:p>
      <w:pPr>
        <w:pStyle w:val="TextBody"/>
        <w:bidi w:val="0"/>
        <w:spacing w:before="0" w:after="0"/>
        <w:jc w:val="center"/>
        <w:rPr>
          <w:rFonts w:ascii="Times New Roman" w:hAnsi="Times New Roman"/>
          <w:sz w:val="20"/>
        </w:rPr>
      </w:pPr>
      <w:r>
        <w:rPr>
          <w:rFonts w:ascii="Times New Roman" w:hAnsi="Times New Roman"/>
          <w:sz w:val="20"/>
        </w:rPr>
        <w:t xml:space="preserve">Attn: Chief Financial Officer </w:t>
      </w:r>
    </w:p>
    <w:p>
      <w:pPr>
        <w:pStyle w:val="TextBody"/>
        <w:bidi w:val="0"/>
        <w:spacing w:before="0" w:after="0"/>
        <w:jc w:val="center"/>
        <w:rPr>
          <w:rFonts w:ascii="Times New Roman" w:hAnsi="Times New Roman"/>
          <w:sz w:val="20"/>
        </w:rPr>
      </w:pPr>
      <w:r>
        <w:rPr>
          <w:rFonts w:ascii="Times New Roman" w:hAnsi="Times New Roman"/>
          <w:sz w:val="20"/>
        </w:rPr>
        <w:t xml:space="preserve">Telephone: (770) 418-8800 </w:t>
      </w:r>
    </w:p>
    <w:p>
      <w:pPr>
        <w:pStyle w:val="TextBody"/>
        <w:bidi w:val="0"/>
        <w:spacing w:before="0" w:after="0"/>
        <w:jc w:val="center"/>
        <w:rPr>
          <w:rFonts w:ascii="Times New Roman" w:hAnsi="Times New Roman"/>
          <w:sz w:val="20"/>
        </w:rPr>
      </w:pPr>
      <w:r>
        <w:rPr>
          <w:rFonts w:ascii="Times New Roman" w:hAnsi="Times New Roman"/>
          <w:sz w:val="20"/>
        </w:rPr>
        <w:t xml:space="preserve">Telecopy: (770) 418-8900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67728</Words>
  <Characters>351858</Characters>
  <CharactersWithSpaces>421020</CharactersWithSpaces>
  <Paragraphs>3860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EX-4.3</dc:title>
</cp:coreProperties>
</file>