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272415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238125</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260"/>
        <w:spacing w:after="0" w:line="195" w:lineRule="auto"/>
        <w:rPr>
          <w:sz w:val="20"/>
          <w:szCs w:val="20"/>
          <w:color w:val="auto"/>
        </w:rPr>
      </w:pPr>
      <w:r>
        <w:rPr>
          <w:rFonts w:ascii="Times New Roman" w:cs="Times New Roman" w:eastAsia="Times New Roman" w:hAnsi="Times New Roman"/>
          <w:sz w:val="18"/>
          <w:szCs w:val="18"/>
          <w:color w:val="auto"/>
        </w:rPr>
        <w:t>____________________________________________________</w:t>
      </w:r>
    </w:p>
    <w:p>
      <w:pPr>
        <w:jc w:val="center"/>
        <w:ind w:right="-19"/>
        <w:spacing w:after="0" w:line="205" w:lineRule="auto"/>
        <w:rPr>
          <w:sz w:val="20"/>
          <w:szCs w:val="20"/>
          <w:color w:val="auto"/>
        </w:rPr>
      </w:pPr>
      <w:r>
        <w:rPr>
          <w:rFonts w:ascii="Times New Roman" w:cs="Times New Roman" w:eastAsia="Times New Roman" w:hAnsi="Times New Roman"/>
          <w:sz w:val="32"/>
          <w:szCs w:val="32"/>
          <w:b w:val="1"/>
          <w:bCs w:val="1"/>
          <w:color w:val="auto"/>
        </w:rPr>
        <w:t>FORM 10-Q</w:t>
      </w:r>
    </w:p>
    <w:p>
      <w:pPr>
        <w:ind w:left="32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5"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Borders>
              <w:bottom w:val="single" w:sz="8" w:color="auto"/>
            </w:tcBorders>
          </w:tcPr>
          <w:p>
            <w:pPr>
              <w:spacing w:after="0"/>
              <w:rPr>
                <w:sz w:val="17"/>
                <w:szCs w:val="17"/>
                <w:color w:val="auto"/>
              </w:rPr>
            </w:pPr>
          </w:p>
        </w:tc>
        <w:tc>
          <w:tcPr>
            <w:tcW w:w="2620" w:type="dxa"/>
            <w:vAlign w:val="bottom"/>
          </w:tcPr>
          <w:p>
            <w:pPr>
              <w:spacing w:after="0"/>
              <w:rPr>
                <w:sz w:val="17"/>
                <w:szCs w:val="17"/>
                <w:color w:val="auto"/>
              </w:rPr>
            </w:pPr>
          </w:p>
        </w:tc>
      </w:tr>
      <w:tr>
        <w:trPr>
          <w:trHeight w:val="318"/>
        </w:trPr>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Commission file number 001-34626</w:t>
            </w:r>
          </w:p>
        </w:tc>
      </w:tr>
    </w:tbl>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Piedmont Realty Trust,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0"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7180" w:type="dxa"/>
            <w:vAlign w:val="bottom"/>
            <w:gridSpan w:val="5"/>
          </w:tcPr>
          <w:p>
            <w:pPr>
              <w:jc w:val="right"/>
              <w:ind w:right="2419"/>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w:t>
            </w:r>
          </w:p>
        </w:tc>
      </w:tr>
      <w:tr>
        <w:trPr>
          <w:trHeight w:val="270"/>
        </w:trPr>
        <w:tc>
          <w:tcPr>
            <w:tcW w:w="2480" w:type="dxa"/>
            <w:vAlign w:val="bottom"/>
          </w:tcPr>
          <w:p>
            <w:pPr>
              <w:jc w:val="center"/>
              <w:ind w:left="126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tcPr>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58-2328421</w:t>
            </w:r>
          </w:p>
        </w:tc>
      </w:tr>
      <w:tr>
        <w:trPr>
          <w:trHeight w:val="193"/>
        </w:trPr>
        <w:tc>
          <w:tcPr>
            <w:tcW w:w="5940" w:type="dxa"/>
            <w:vAlign w:val="bottom"/>
            <w:gridSpan w:val="5"/>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555"/>
        </w:trPr>
        <w:tc>
          <w:tcPr>
            <w:tcW w:w="2480" w:type="dxa"/>
            <w:vAlign w:val="bottom"/>
          </w:tcPr>
          <w:p>
            <w:pPr>
              <w:spacing w:after="0"/>
              <w:rPr>
                <w:sz w:val="24"/>
                <w:szCs w:val="24"/>
                <w:color w:val="auto"/>
              </w:rPr>
            </w:pPr>
          </w:p>
        </w:tc>
        <w:tc>
          <w:tcPr>
            <w:tcW w:w="7180" w:type="dxa"/>
            <w:vAlign w:val="bottom"/>
            <w:gridSpan w:val="5"/>
          </w:tcPr>
          <w:p>
            <w:pPr>
              <w:jc w:val="center"/>
              <w:ind w:right="2419"/>
              <w:spacing w:after="0"/>
              <w:rPr>
                <w:sz w:val="20"/>
                <w:szCs w:val="20"/>
                <w:color w:val="auto"/>
              </w:rPr>
            </w:pPr>
            <w:r>
              <w:rPr>
                <w:rFonts w:ascii="Times New Roman" w:cs="Times New Roman" w:eastAsia="Times New Roman" w:hAnsi="Times New Roman"/>
                <w:sz w:val="18"/>
                <w:szCs w:val="18"/>
                <w:b w:val="1"/>
                <w:bCs w:val="1"/>
                <w:color w:val="auto"/>
              </w:rPr>
              <w:t>5565 Glenridge Connector Ste. 450</w:t>
            </w:r>
          </w:p>
        </w:tc>
      </w:tr>
      <w:tr>
        <w:trPr>
          <w:trHeight w:val="214"/>
        </w:trPr>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2"/>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9"/>
              </w:rPr>
              <w:t>Atlanta, Georgia 30342</w:t>
            </w:r>
          </w:p>
        </w:tc>
        <w:tc>
          <w:tcPr>
            <w:tcW w:w="3720" w:type="dxa"/>
            <w:vAlign w:val="bottom"/>
          </w:tcPr>
          <w:p>
            <w:pPr>
              <w:spacing w:after="0"/>
              <w:rPr>
                <w:sz w:val="18"/>
                <w:szCs w:val="18"/>
                <w:color w:val="auto"/>
              </w:rPr>
            </w:pPr>
          </w:p>
        </w:tc>
      </w:tr>
      <w:tr>
        <w:trPr>
          <w:trHeight w:val="190"/>
        </w:trPr>
        <w:tc>
          <w:tcPr>
            <w:tcW w:w="2480" w:type="dxa"/>
            <w:vAlign w:val="bottom"/>
          </w:tcPr>
          <w:p>
            <w:pPr>
              <w:spacing w:after="0"/>
              <w:rPr>
                <w:sz w:val="16"/>
                <w:szCs w:val="16"/>
                <w:color w:val="auto"/>
              </w:rPr>
            </w:pPr>
          </w:p>
        </w:tc>
        <w:tc>
          <w:tcPr>
            <w:tcW w:w="7180" w:type="dxa"/>
            <w:vAlign w:val="bottom"/>
            <w:gridSpan w:val="5"/>
          </w:tcPr>
          <w:p>
            <w:pPr>
              <w:jc w:val="center"/>
              <w:ind w:right="2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82"/>
        </w:trPr>
        <w:tc>
          <w:tcPr>
            <w:tcW w:w="2480" w:type="dxa"/>
            <w:vAlign w:val="bottom"/>
          </w:tcPr>
          <w:p>
            <w:pPr>
              <w:spacing w:after="0"/>
              <w:rPr>
                <w:sz w:val="24"/>
                <w:szCs w:val="24"/>
                <w:color w:val="auto"/>
              </w:rPr>
            </w:pPr>
          </w:p>
        </w:tc>
        <w:tc>
          <w:tcPr>
            <w:tcW w:w="3360" w:type="dxa"/>
            <w:vAlign w:val="bottom"/>
            <w:gridSpan w:val="3"/>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(770) 418-8800</w:t>
            </w:r>
          </w:p>
        </w:tc>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0"/>
        </w:trPr>
        <w:tc>
          <w:tcPr>
            <w:tcW w:w="2480" w:type="dxa"/>
            <w:vAlign w:val="bottom"/>
          </w:tcPr>
          <w:p>
            <w:pPr>
              <w:spacing w:after="0"/>
              <w:rPr>
                <w:sz w:val="16"/>
                <w:szCs w:val="16"/>
                <w:color w:val="auto"/>
              </w:rPr>
            </w:pPr>
          </w:p>
        </w:tc>
        <w:tc>
          <w:tcPr>
            <w:tcW w:w="7180" w:type="dxa"/>
            <w:vAlign w:val="bottom"/>
            <w:gridSpan w:val="5"/>
          </w:tcPr>
          <w:p>
            <w:pPr>
              <w:jc w:val="center"/>
              <w:ind w:right="24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96"/>
        </w:trPr>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rPr>
              <w:t>N/A</w:t>
            </w:r>
          </w:p>
        </w:tc>
        <w:tc>
          <w:tcPr>
            <w:tcW w:w="3720" w:type="dxa"/>
            <w:vAlign w:val="bottom"/>
          </w:tcPr>
          <w:p>
            <w:pPr>
              <w:spacing w:after="0"/>
              <w:rPr>
                <w:sz w:val="24"/>
                <w:szCs w:val="24"/>
                <w:color w:val="auto"/>
              </w:rPr>
            </w:pPr>
          </w:p>
        </w:tc>
      </w:tr>
      <w:tr>
        <w:trPr>
          <w:trHeight w:val="190"/>
        </w:trPr>
        <w:tc>
          <w:tcPr>
            <w:tcW w:w="96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2480" w:type="dxa"/>
            <w:vAlign w:val="bottom"/>
          </w:tcPr>
          <w:p>
            <w:pPr>
              <w:spacing w:after="0"/>
              <w:rPr>
                <w:sz w:val="24"/>
                <w:szCs w:val="24"/>
                <w:color w:val="auto"/>
              </w:rPr>
            </w:pPr>
          </w:p>
        </w:tc>
        <w:tc>
          <w:tcPr>
            <w:tcW w:w="7180" w:type="dxa"/>
            <w:vAlign w:val="bottom"/>
            <w:gridSpan w:val="5"/>
          </w:tcPr>
          <w:p>
            <w:pPr>
              <w:jc w:val="center"/>
              <w:ind w:right="241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20"/>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Title of each class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Symbol(s)</w:t>
            </w:r>
          </w:p>
        </w:tc>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of exchange on which registered</w:t>
            </w:r>
          </w:p>
        </w:tc>
      </w:tr>
      <w:tr>
        <w:trPr>
          <w:trHeight w:val="30"/>
        </w:trPr>
        <w:tc>
          <w:tcPr>
            <w:tcW w:w="2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PDM</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31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80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300"/>
              <w:spacing w:after="0"/>
              <w:rPr>
                <w:sz w:val="20"/>
                <w:szCs w:val="20"/>
                <w:color w:val="auto"/>
              </w:rPr>
            </w:pPr>
            <w:r>
              <w:rPr>
                <w:rFonts w:ascii="Wingdings" w:cs="Wingdings" w:eastAsia="Wingdings" w:hAnsi="Wingdings"/>
                <w:sz w:val="18"/>
                <w:szCs w:val="18"/>
                <w:b w:val="1"/>
                <w:bCs w:val="1"/>
                <w:color w:val="auto"/>
              </w:rPr>
              <w:t>x</w:t>
            </w:r>
          </w:p>
        </w:tc>
        <w:tc>
          <w:tcPr>
            <w:tcW w:w="41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1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4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Number of shares outstanding of the Registrant’s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as of October 23, 2026: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123,824,675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211455</wp:posOffset>
            </wp:positionV>
            <wp:extent cx="6763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177165</wp:posOffset>
            </wp:positionV>
            <wp:extent cx="6763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60" w:type="dxa"/>
            <w:vAlign w:val="bottom"/>
            <w:gridSpan w:val="17"/>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vMerge w:val="continue"/>
          </w:tcPr>
          <w:p>
            <w:pPr>
              <w:spacing w:after="0"/>
              <w:rPr>
                <w:sz w:val="19"/>
                <w:szCs w:val="19"/>
                <w:color w:val="auto"/>
              </w:rPr>
            </w:pPr>
          </w:p>
        </w:tc>
        <w:tc>
          <w:tcPr>
            <w:tcW w:w="9260" w:type="dxa"/>
            <w:vAlign w:val="bottom"/>
            <w:gridSpan w:val="17"/>
            <w:vMerge w:val="continue"/>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Balance Sheets—September 30, 2026 (Unaudited) and December 31, 2025</w:t>
            </w:r>
          </w:p>
        </w:tc>
        <w:tc>
          <w:tcPr>
            <w:tcW w:w="1760" w:type="dxa"/>
            <w:vAlign w:val="bottom"/>
            <w:gridSpan w:val="5"/>
          </w:tcPr>
          <w:p>
            <w:pPr>
              <w:spacing w:after="0"/>
              <w:rPr>
                <w:sz w:val="24"/>
                <w:szCs w:val="24"/>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 for the Three and Nine Months Ended September 30, 2026</w:t>
            </w:r>
          </w:p>
        </w:tc>
        <w:tc>
          <w:tcPr>
            <w:tcW w:w="10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and 2025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(Unaudited) for the Three and Nine Months Ended September</w:t>
            </w:r>
          </w:p>
        </w:tc>
        <w:tc>
          <w:tcPr>
            <w:tcW w:w="10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6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30, 2026 and 2025</w:t>
            </w:r>
          </w:p>
        </w:tc>
        <w:tc>
          <w:tcPr>
            <w:tcW w:w="1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 for the Three and Nine Months Ended September</w:t>
            </w:r>
          </w:p>
        </w:tc>
        <w:tc>
          <w:tcPr>
            <w:tcW w:w="10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30, 2026 and 2025</w:t>
            </w:r>
          </w:p>
        </w:tc>
        <w:tc>
          <w:tcPr>
            <w:tcW w:w="120" w:type="dxa"/>
            <w:vAlign w:val="bottom"/>
            <w:gridSpan w:val="2"/>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 for the Nine Months Ended September 30, 2026 and 2025</w:t>
            </w:r>
          </w:p>
        </w:tc>
        <w:tc>
          <w:tcPr>
            <w:tcW w:w="1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Notes to Consolidated Financial Statements (Unaudited)</w:t>
            </w:r>
          </w:p>
        </w:tc>
        <w:tc>
          <w:tcPr>
            <w:tcW w:w="3080" w:type="dxa"/>
            <w:vAlign w:val="bottom"/>
            <w:tcBorders>
              <w:top w:val="single" w:sz="8" w:color="0000FF"/>
            </w:tcBorders>
            <w:gridSpan w:val="3"/>
          </w:tcPr>
          <w:p>
            <w:pPr>
              <w:spacing w:after="0"/>
              <w:rPr>
                <w:sz w:val="24"/>
                <w:szCs w:val="24"/>
                <w:color w:val="auto"/>
              </w:rPr>
            </w:pPr>
          </w:p>
        </w:tc>
        <w:tc>
          <w:tcPr>
            <w:tcW w:w="16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4"/>
                <w:szCs w:val="24"/>
                <w:color w:val="auto"/>
              </w:rPr>
            </w:pPr>
          </w:p>
        </w:tc>
        <w:tc>
          <w:tcPr>
            <w:tcW w:w="1700" w:type="dxa"/>
            <w:vAlign w:val="bottom"/>
            <w:gridSpan w:val="4"/>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38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60" w:type="dxa"/>
            <w:vAlign w:val="bottom"/>
            <w:gridSpan w:val="17"/>
          </w:tcPr>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6820" w:type="dxa"/>
            <w:vAlign w:val="bottom"/>
            <w:gridSpan w:val="12"/>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800" w:type="dxa"/>
            <w:vAlign w:val="bottom"/>
            <w:gridSpan w:val="8"/>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5840" w:type="dxa"/>
            <w:vAlign w:val="bottom"/>
            <w:gridSpan w:val="10"/>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82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Form 10-Q may constitute forward-looking statements within the meaning of the federal securities laws. In addition, Piedmont Realty Trust, Inc. ("Piedmont," "we," "our," or "us"), or our executive officers on our behalf, may from time to time make forward-looking statements in reports and other documents we file with the Securities and Exchange Commission or in connection with other written or oral statements made to the press, potential investors, or others. Statements regarding future events and developments and our future performance, as well as management’s expectations, beliefs, plans, estimates, or projections relating to the future, are forward-looking statements. Forward-looking statements include statements preceded by, followed by, or that include the words “may,” “will,” “expect,” “intend,” “anticipate,” “estimate,” “believe,” “continue,” or other similar words. Examples of such statements in this report include descriptions of our real estate, financing, and operating objectives; discussions regarding future dividends; and discussions regarding potential acquisition and disposition activity and the potential impact of economic conditions on our real estate and lease portfolio, among others.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are based on beliefs and assumptions of our management, which in turn are based on information available at the time the statements are made. Important assumptions relating to the forward-looking statements include, among others, assumptions regarding the demand for office space in the markets in which we operate, competitive conditions, and general economic conditions. These assumptions could prove inaccurate. The forward-looking statements also involve certain known and unknown risks and uncertainties, which could cause actual results to differ materially from those contained in any forward-looking statement. Many of these factors are beyond our ability to control or predict. Such factors include, but are not limited to, the following:</w:t>
      </w:r>
    </w:p>
    <w:p>
      <w:pPr>
        <w:spacing w:after="0" w:line="201" w:lineRule="exact"/>
        <w:rPr>
          <w:sz w:val="20"/>
          <w:szCs w:val="20"/>
          <w:color w:val="auto"/>
        </w:rPr>
      </w:pPr>
    </w:p>
    <w:p>
      <w:pPr>
        <w:jc w:val="both"/>
        <w:ind w:left="660" w:hanging="328"/>
        <w:spacing w:after="0" w:line="24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on our efforts to renew existing leases or re-let space on terms similar to existing leases;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terminations, lease defaults, lease contractions, or changes in the financial condition of our tenants, particularly by one of our large tenants;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long-lived assets or goodwill resulting therefrom;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real estate strategies and investment objectives, including our ability to implement successful redevelopment and development strategies or identify and consummate suitable acquisitions and divestitures;</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illiquidity of real estate investments, including economic changes, such as interest rate increases,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associated with our acquisition and disposition of properties, many of which risks and uncertainties may not be known at the time of acquisition or disposition;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delays, including the potential of supply chain disruptions, and resultant increased costs and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acts of terrorism, civil unrest, or armed hostilities in any of the major metropolitan areas in which we own properties;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governmental laws, regulations and policies, including environmental standards imposed on office building owners;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losses or losses in excess of our insurance coverage, and our inability to obtain adequate insurance coverage at a reasonable cost;</w:t>
      </w:r>
    </w:p>
    <w:p>
      <w:pPr>
        <w:jc w:val="both"/>
        <w:ind w:left="660" w:hanging="328"/>
        <w:spacing w:after="0" w:line="23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price and volume fluctuations in the public markets, including on the exchange on which we listed our common stock;</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incurring mortgage and other indebtedness, including changing capital reserve requirements on our lenders and rising interest rates for new debt financings;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our credit ratings, the credit ratings of Piedmont Operating Partnership, LP ("Piedmont OP") or the credit ratings of our or Piedmont OP's unsecured debt securities, which could, among other effects, trigger an increase in the stated rate of one or more of our unsecured debt instruments;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future offerings of debt or equity securities on the value of our common stock;</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and costs associated with adverse U.S. and global economic conditions, inflation and potential increases in the rate of inflation, including the impact of a possible recession, uncertainty and volatility in financial markets, and any changes in governmental rules, regulations, and fiscal policies;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environmental and regulatory matters;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litigation to which we are, or may become, subject;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and costs associated with owning properties occupied by tenants in particular industries, such as oil and gas, hospitality, travel, co-working, etc., including risks of default during start-up and during economic downturns;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impacting REITs and real estate in general, as well as our ability to continue to qualify as a REIT under the Internal Revenue Code of 1986, as amended (the “Code”), or other tax law changes which may adversely affect our stockholders;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effectiveness of our internal controls and procedures;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the risk factors discussed under Item 1A. of our Annual Report on Form 10-K for the year ended December 31, 2025.</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these forward-looking statements are reasonable; however, undue reliance should not be placed on any forward-looking statements, which are based on current expectations. Further, forward-looking statements speak only as of the date they are made, and management undertakes no obligation to update publicly any of them in light of new information or future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Disclosures Presented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Annualized Lease Revenue ("ALR") is calculated by multiplying (i) current rental payments (defined as base rent plus operating expense reimbursements, if payable by the tenant on a monthly basis under the terms of a lease that has been executed, but excluding (a) rental abatements and (b) rental payments related to executed but not commenced leases for space that was covered by an existing lease), by (ii) 12. In instances in which contractual rents or operating expense reimbursements are collected on an annual, semi-annual, or quarterly basis, such amounts are multiplied by a factor of 1, 2, or 4, respectively, to calculate the annualized figure. For leases that have been executed but not commenced relating to unleased space, ALR is calculated by multiplying (i) the monthly base rental payment (excluding abatements) plus any operating expense reimbursements for the initial month of the lease term, by (ii) 12. Unless stated otherwise, this measure excludes revenues associated with development properties and properties taken out of service for redevelopment, if 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CONSOLIDATED FINANCIAL STATEMENTS.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in the accompanying consolidated balance sheets and related consolidated statements of operations, comprehensive loss, stockholders’ equity, and cash flows reflects all adjustments that are, in management’s opinion, necessary for a fair and consistent presentation of financial position, results of operations, and cash flows in accordance with generally accepted accounting principles ("GAAP").</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notes to Piedmont’s financial statements and Management’s Discussion and Analysis of Financial Condition and Results of Operations included in this report on Form 10-Q and with Piedmont’s Annual Report on Form 10-K for the year ended December 31, 2025. Piedmont’s results of operations for the nine months ended September 30, 2026 are not necessarily indicative of the operating results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2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0"/>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Real estate assets, at cost:</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66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552,482</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540,584</w:t>
            </w:r>
          </w:p>
        </w:tc>
        <w:tc>
          <w:tcPr>
            <w:tcW w:w="0" w:type="dxa"/>
            <w:vAlign w:val="bottom"/>
          </w:tcPr>
          <w:p>
            <w:pPr>
              <w:spacing w:after="0"/>
              <w:rPr>
                <w:sz w:val="1"/>
                <w:szCs w:val="1"/>
                <w:color w:val="auto"/>
              </w:rPr>
            </w:pPr>
          </w:p>
        </w:tc>
      </w:tr>
      <w:tr>
        <w:trPr>
          <w:trHeight w:val="189"/>
        </w:trPr>
        <w:tc>
          <w:tcPr>
            <w:tcW w:w="8200" w:type="dxa"/>
            <w:vAlign w:val="bottom"/>
            <w:gridSpan w:val="3"/>
          </w:tcPr>
          <w:p>
            <w:pPr>
              <w:ind w:left="660"/>
              <w:spacing w:after="0" w:line="189" w:lineRule="exact"/>
              <w:rPr>
                <w:sz w:val="20"/>
                <w:szCs w:val="20"/>
                <w:color w:val="auto"/>
              </w:rPr>
            </w:pPr>
            <w:r>
              <w:rPr>
                <w:rFonts w:ascii="Times New Roman" w:cs="Times New Roman" w:eastAsia="Times New Roman" w:hAnsi="Times New Roman"/>
                <w:sz w:val="18"/>
                <w:szCs w:val="18"/>
                <w:color w:val="auto"/>
              </w:rPr>
              <w:t>Buildings and improvements, less accumulated depreciation of $1,356,637 and $1,250,436 as of</w:t>
            </w: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2,745,272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2,720,420</w:t>
            </w:r>
          </w:p>
        </w:tc>
        <w:tc>
          <w:tcPr>
            <w:tcW w:w="0" w:type="dxa"/>
            <w:vAlign w:val="bottom"/>
          </w:tcPr>
          <w:p>
            <w:pPr>
              <w:spacing w:after="0"/>
              <w:rPr>
                <w:sz w:val="1"/>
                <w:szCs w:val="1"/>
                <w:color w:val="auto"/>
              </w:rPr>
            </w:pPr>
          </w:p>
        </w:tc>
      </w:tr>
      <w:tr>
        <w:trPr>
          <w:trHeight w:val="189"/>
        </w:trPr>
        <w:tc>
          <w:tcPr>
            <w:tcW w:w="8200" w:type="dxa"/>
            <w:vAlign w:val="bottom"/>
            <w:gridSpan w:val="3"/>
            <w:shd w:val="clear" w:color="auto" w:fill="F8F4F1"/>
          </w:tcPr>
          <w:p>
            <w:pPr>
              <w:ind w:left="660"/>
              <w:spacing w:after="0" w:line="189" w:lineRule="exact"/>
              <w:rPr>
                <w:sz w:val="20"/>
                <w:szCs w:val="20"/>
                <w:color w:val="auto"/>
              </w:rPr>
            </w:pPr>
            <w:r>
              <w:rPr>
                <w:rFonts w:ascii="Times New Roman" w:cs="Times New Roman" w:eastAsia="Times New Roman" w:hAnsi="Times New Roman"/>
                <w:sz w:val="18"/>
                <w:szCs w:val="18"/>
                <w:color w:val="auto"/>
              </w:rPr>
              <w:t>Intangible lease assets, less accumulated amortization of $68,465 and $73,824 as of September 30, 2026</w:t>
            </w:r>
          </w:p>
        </w:tc>
        <w:tc>
          <w:tcPr>
            <w:tcW w:w="200" w:type="dxa"/>
            <w:vAlign w:val="bottom"/>
            <w:shd w:val="clear" w:color="auto" w:fill="F8F4F1"/>
          </w:tcPr>
          <w:p>
            <w:pPr>
              <w:spacing w:after="0"/>
              <w:rPr>
                <w:sz w:val="16"/>
                <w:szCs w:val="16"/>
                <w:color w:val="auto"/>
              </w:rPr>
            </w:pPr>
          </w:p>
        </w:tc>
        <w:tc>
          <w:tcPr>
            <w:tcW w:w="12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46,761</w:t>
            </w:r>
          </w:p>
        </w:tc>
        <w:tc>
          <w:tcPr>
            <w:tcW w:w="10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12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82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00" w:type="dxa"/>
            <w:vAlign w:val="bottom"/>
            <w:shd w:val="clear" w:color="auto" w:fill="F8F4F1"/>
          </w:tcPr>
          <w:p>
            <w:pPr>
              <w:spacing w:after="0"/>
              <w:rPr>
                <w:sz w:val="21"/>
                <w:szCs w:val="21"/>
                <w:color w:val="auto"/>
              </w:rPr>
            </w:pPr>
          </w:p>
        </w:tc>
        <w:tc>
          <w:tcPr>
            <w:tcW w:w="1260" w:type="dxa"/>
            <w:vAlign w:val="bottom"/>
            <w:vMerge w:val="continue"/>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44,371</w:t>
            </w:r>
          </w:p>
        </w:tc>
        <w:tc>
          <w:tcPr>
            <w:tcW w:w="0" w:type="dxa"/>
            <w:vAlign w:val="bottom"/>
          </w:tcPr>
          <w:p>
            <w:pPr>
              <w:spacing w:after="0"/>
              <w:rPr>
                <w:sz w:val="1"/>
                <w:szCs w:val="1"/>
                <w:color w:val="auto"/>
              </w:rPr>
            </w:pPr>
          </w:p>
        </w:tc>
      </w:tr>
      <w:tr>
        <w:trPr>
          <w:trHeight w:val="243"/>
        </w:trPr>
        <w:tc>
          <w:tcPr>
            <w:tcW w:w="8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660"/>
              <w:spacing w:after="0"/>
              <w:rPr>
                <w:sz w:val="20"/>
                <w:szCs w:val="20"/>
                <w:color w:val="auto"/>
              </w:rPr>
            </w:pPr>
            <w:r>
              <w:rPr>
                <w:rFonts w:ascii="Times New Roman" w:cs="Times New Roman" w:eastAsia="Times New Roman" w:hAnsi="Times New Roman"/>
                <w:sz w:val="18"/>
                <w:szCs w:val="18"/>
                <w:color w:val="auto"/>
              </w:rPr>
              <w:t>Real estate assets held for sale, net</w:t>
            </w:r>
          </w:p>
        </w:tc>
        <w:tc>
          <w:tcPr>
            <w:tcW w:w="200" w:type="dxa"/>
            <w:vAlign w:val="bottom"/>
            <w:tcBorders>
              <w:bottom w:val="single" w:sz="8" w:color="auto"/>
            </w:tcBorders>
            <w:shd w:val="clear" w:color="auto" w:fill="F8F4F1"/>
          </w:tcPr>
          <w:p>
            <w:pPr>
              <w:spacing w:after="0"/>
              <w:rPr>
                <w:sz w:val="21"/>
                <w:szCs w:val="21"/>
                <w:color w:val="auto"/>
              </w:rPr>
            </w:pPr>
          </w:p>
        </w:tc>
        <w:tc>
          <w:tcPr>
            <w:tcW w:w="12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66,503</w:t>
            </w:r>
          </w:p>
        </w:tc>
        <w:tc>
          <w:tcPr>
            <w:tcW w:w="100" w:type="dxa"/>
            <w:vAlign w:val="bottom"/>
            <w:shd w:val="clear" w:color="auto" w:fill="F8F4F1"/>
          </w:tcPr>
          <w:p>
            <w:pPr>
              <w:spacing w:after="0"/>
              <w:rPr>
                <w:sz w:val="21"/>
                <w:szCs w:val="21"/>
                <w:color w:val="auto"/>
              </w:rPr>
            </w:pPr>
          </w:p>
        </w:tc>
        <w:tc>
          <w:tcPr>
            <w:tcW w:w="2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0" w:type="dxa"/>
            <w:vAlign w:val="bottom"/>
          </w:tcPr>
          <w:p>
            <w:pPr>
              <w:spacing w:after="0"/>
              <w:rPr>
                <w:sz w:val="1"/>
                <w:szCs w:val="1"/>
                <w:color w:val="auto"/>
              </w:rPr>
            </w:pPr>
          </w:p>
        </w:tc>
      </w:tr>
      <w:tr>
        <w:trPr>
          <w:trHeight w:val="236"/>
        </w:trPr>
        <w:tc>
          <w:tcPr>
            <w:tcW w:w="82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Total real estate assets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3,462,009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3,421,709</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43"/>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Tenant receivables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Straight-line rent receivables</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214,444</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203,382</w:t>
            </w:r>
          </w:p>
        </w:tc>
        <w:tc>
          <w:tcPr>
            <w:tcW w:w="0" w:type="dxa"/>
            <w:vAlign w:val="bottom"/>
          </w:tcPr>
          <w:p>
            <w:pPr>
              <w:spacing w:after="0"/>
              <w:rPr>
                <w:sz w:val="1"/>
                <w:szCs w:val="1"/>
                <w:color w:val="auto"/>
              </w:rPr>
            </w:pPr>
          </w:p>
        </w:tc>
      </w:tr>
      <w:tr>
        <w:trPr>
          <w:trHeight w:val="243"/>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Restricted cash and escrows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24,475</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0" w:type="dxa"/>
            <w:vAlign w:val="bottom"/>
          </w:tcPr>
          <w:p>
            <w:pPr>
              <w:spacing w:after="0"/>
              <w:rPr>
                <w:sz w:val="1"/>
                <w:szCs w:val="1"/>
                <w:color w:val="auto"/>
              </w:rPr>
            </w:pPr>
          </w:p>
        </w:tc>
      </w:tr>
      <w:tr>
        <w:trPr>
          <w:trHeight w:val="243"/>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2,561</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20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w w:val="99"/>
              </w:rPr>
              <w:t>Deferred lease costs, less accumulated amortization of $228,978 and $206,101 as of September 30, 2026 and</w:t>
            </w: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302,801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305,948</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Other assets held for sale, net</w:t>
            </w:r>
          </w:p>
        </w:tc>
        <w:tc>
          <w:tcPr>
            <w:tcW w:w="200" w:type="dxa"/>
            <w:vAlign w:val="bottom"/>
            <w:tcBorders>
              <w:bottom w:val="single" w:sz="8" w:color="auto"/>
            </w:tcBorders>
            <w:shd w:val="clear" w:color="auto" w:fill="F8F4F1"/>
          </w:tcPr>
          <w:p>
            <w:pPr>
              <w:spacing w:after="0"/>
              <w:rPr>
                <w:sz w:val="21"/>
                <w:szCs w:val="21"/>
                <w:color w:val="auto"/>
              </w:rPr>
            </w:pPr>
          </w:p>
        </w:tc>
        <w:tc>
          <w:tcPr>
            <w:tcW w:w="12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15,145</w:t>
            </w:r>
          </w:p>
        </w:tc>
        <w:tc>
          <w:tcPr>
            <w:tcW w:w="100" w:type="dxa"/>
            <w:vAlign w:val="bottom"/>
            <w:shd w:val="clear" w:color="auto" w:fill="F8F4F1"/>
          </w:tcPr>
          <w:p>
            <w:pPr>
              <w:spacing w:after="0"/>
              <w:rPr>
                <w:sz w:val="21"/>
                <w:szCs w:val="21"/>
                <w:color w:val="auto"/>
              </w:rPr>
            </w:pPr>
          </w:p>
        </w:tc>
        <w:tc>
          <w:tcPr>
            <w:tcW w:w="2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0" w:type="dxa"/>
            <w:vAlign w:val="bottom"/>
          </w:tcPr>
          <w:p>
            <w:pPr>
              <w:spacing w:after="0"/>
              <w:rPr>
                <w:sz w:val="1"/>
                <w:szCs w:val="1"/>
                <w:color w:val="auto"/>
              </w:rPr>
            </w:pPr>
          </w:p>
        </w:tc>
      </w:tr>
      <w:tr>
        <w:trPr>
          <w:trHeight w:val="236"/>
        </w:trPr>
        <w:tc>
          <w:tcPr>
            <w:tcW w:w="82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4,091,613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4,031,354</w:t>
            </w:r>
          </w:p>
        </w:tc>
        <w:tc>
          <w:tcPr>
            <w:tcW w:w="0" w:type="dxa"/>
            <w:vAlign w:val="bottom"/>
          </w:tcPr>
          <w:p>
            <w:pPr>
              <w:spacing w:after="0"/>
              <w:rPr>
                <w:sz w:val="1"/>
                <w:szCs w:val="1"/>
                <w:color w:val="auto"/>
              </w:rPr>
            </w:pPr>
          </w:p>
        </w:tc>
      </w:tr>
      <w:tr>
        <w:trPr>
          <w:trHeight w:val="20"/>
        </w:trPr>
        <w:tc>
          <w:tcPr>
            <w:tcW w:w="2680" w:type="dxa"/>
            <w:vAlign w:val="bottom"/>
            <w:tcBorders>
              <w:bottom w:val="single" w:sz="8" w:color="F8F4F1"/>
            </w:tcBorders>
          </w:tcPr>
          <w:p>
            <w:pPr>
              <w:spacing w:after="0" w:line="20" w:lineRule="exact"/>
              <w:rPr>
                <w:sz w:val="1"/>
                <w:szCs w:val="1"/>
                <w:color w:val="auto"/>
              </w:rPr>
            </w:pPr>
          </w:p>
        </w:tc>
        <w:tc>
          <w:tcPr>
            <w:tcW w:w="480" w:type="dxa"/>
            <w:vAlign w:val="bottom"/>
            <w:tcBorders>
              <w:bottom w:val="single" w:sz="8" w:color="F8F4F1"/>
            </w:tcBorders>
          </w:tcPr>
          <w:p>
            <w:pPr>
              <w:spacing w:after="0" w:line="20" w:lineRule="exact"/>
              <w:rPr>
                <w:sz w:val="1"/>
                <w:szCs w:val="1"/>
                <w:color w:val="auto"/>
              </w:rPr>
            </w:pPr>
          </w:p>
        </w:tc>
        <w:tc>
          <w:tcPr>
            <w:tcW w:w="5040" w:type="dxa"/>
            <w:vAlign w:val="bottom"/>
            <w:tcBorders>
              <w:bottom w:val="single" w:sz="8" w:color="F8F4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8F4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3"/>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F8F4F1"/>
          </w:tcPr>
          <w:p>
            <w:pPr>
              <w:spacing w:after="0"/>
              <w:rPr>
                <w:sz w:val="18"/>
                <w:szCs w:val="18"/>
                <w:color w:val="auto"/>
              </w:rPr>
            </w:pPr>
          </w:p>
        </w:tc>
        <w:tc>
          <w:tcPr>
            <w:tcW w:w="1260" w:type="dxa"/>
            <w:vAlign w:val="bottom"/>
            <w:shd w:val="clear" w:color="auto" w:fill="F8F4F1"/>
          </w:tcPr>
          <w:p>
            <w:pPr>
              <w:spacing w:after="0"/>
              <w:rPr>
                <w:sz w:val="18"/>
                <w:szCs w:val="18"/>
                <w:color w:val="auto"/>
              </w:rPr>
            </w:pPr>
          </w:p>
        </w:tc>
        <w:tc>
          <w:tcPr>
            <w:tcW w:w="100" w:type="dxa"/>
            <w:vAlign w:val="bottom"/>
            <w:shd w:val="clear" w:color="auto" w:fill="F8F4F1"/>
          </w:tcPr>
          <w:p>
            <w:pPr>
              <w:spacing w:after="0"/>
              <w:rPr>
                <w:sz w:val="18"/>
                <w:szCs w:val="18"/>
                <w:color w:val="auto"/>
              </w:rPr>
            </w:pPr>
          </w:p>
        </w:tc>
        <w:tc>
          <w:tcPr>
            <w:tcW w:w="200" w:type="dxa"/>
            <w:vAlign w:val="bottom"/>
            <w:shd w:val="clear" w:color="auto" w:fill="F8F4F1"/>
          </w:tcPr>
          <w:p>
            <w:pPr>
              <w:spacing w:after="0"/>
              <w:rPr>
                <w:sz w:val="18"/>
                <w:szCs w:val="18"/>
                <w:color w:val="auto"/>
              </w:rPr>
            </w:pPr>
          </w:p>
        </w:tc>
        <w:tc>
          <w:tcPr>
            <w:tcW w:w="1240" w:type="dxa"/>
            <w:vAlign w:val="bottom"/>
            <w:shd w:val="clear" w:color="auto" w:fill="F8F4F1"/>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0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rPr>
              <w:t>Unsecured debt, net of unamortized discount and debt issuance costs of $27,182 and $23,368 as of</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2,154,818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2,035,890</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Secured debt</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186,023</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188,822</w:t>
            </w:r>
          </w:p>
        </w:tc>
        <w:tc>
          <w:tcPr>
            <w:tcW w:w="0" w:type="dxa"/>
            <w:vAlign w:val="bottom"/>
          </w:tcPr>
          <w:p>
            <w:pPr>
              <w:spacing w:after="0"/>
              <w:rPr>
                <w:sz w:val="1"/>
                <w:szCs w:val="1"/>
                <w:color w:val="auto"/>
              </w:rPr>
            </w:pPr>
          </w:p>
        </w:tc>
      </w:tr>
      <w:tr>
        <w:trPr>
          <w:trHeight w:val="243"/>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accrued capital expenditures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172,880</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Deferred income</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114,518</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111,227</w:t>
            </w:r>
          </w:p>
        </w:tc>
        <w:tc>
          <w:tcPr>
            <w:tcW w:w="0" w:type="dxa"/>
            <w:vAlign w:val="bottom"/>
          </w:tcPr>
          <w:p>
            <w:pPr>
              <w:spacing w:after="0"/>
              <w:rPr>
                <w:sz w:val="1"/>
                <w:szCs w:val="1"/>
                <w:color w:val="auto"/>
              </w:rPr>
            </w:pPr>
          </w:p>
        </w:tc>
      </w:tr>
      <w:tr>
        <w:trPr>
          <w:trHeight w:val="189"/>
        </w:trPr>
        <w:tc>
          <w:tcPr>
            <w:tcW w:w="820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rPr>
              <w:t>Intangible lease liabilities, less accumulated amortization of $31,434 and $35,036 as of September 30, 2026</w:t>
            </w: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21,653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24,824</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F8F4F1"/>
          </w:tcPr>
          <w:p>
            <w:pPr>
              <w:spacing w:after="0"/>
              <w:rPr>
                <w:sz w:val="21"/>
                <w:szCs w:val="21"/>
                <w:color w:val="auto"/>
              </w:rPr>
            </w:pPr>
          </w:p>
        </w:tc>
        <w:tc>
          <w:tcPr>
            <w:tcW w:w="136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8200" w:type="dxa"/>
            <w:vAlign w:val="bottom"/>
            <w:tcBorders>
              <w:bottom w:val="single" w:sz="8" w:color="F8F4F1"/>
            </w:tcBorders>
            <w:gridSpan w:val="3"/>
          </w:tcPr>
          <w:p>
            <w:pPr>
              <w:ind w:left="340"/>
              <w:spacing w:after="0"/>
              <w:rPr>
                <w:sz w:val="20"/>
                <w:szCs w:val="20"/>
                <w:color w:val="auto"/>
              </w:rPr>
            </w:pPr>
            <w:r>
              <w:rPr>
                <w:rFonts w:ascii="Times New Roman" w:cs="Times New Roman" w:eastAsia="Times New Roman" w:hAnsi="Times New Roman"/>
                <w:sz w:val="18"/>
                <w:szCs w:val="18"/>
                <w:color w:val="auto"/>
              </w:rPr>
              <w:t>Other liabilities held for sale</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100" w:type="dxa"/>
            <w:vAlign w:val="bottom"/>
            <w:tcBorders>
              <w:bottom w:val="single" w:sz="8" w:color="F8F4F1"/>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36"/>
        </w:trPr>
        <w:tc>
          <w:tcPr>
            <w:tcW w:w="8200" w:type="dxa"/>
            <w:vAlign w:val="bottom"/>
            <w:gridSpan w:val="3"/>
            <w:shd w:val="clear" w:color="auto" w:fill="F8F4F1"/>
          </w:tcPr>
          <w:p>
            <w:pPr>
              <w:ind w:left="11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F8F4F1"/>
          </w:tcPr>
          <w:p>
            <w:pPr>
              <w:spacing w:after="0"/>
              <w:rPr>
                <w:sz w:val="20"/>
                <w:szCs w:val="20"/>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2,643,181</w:t>
            </w:r>
          </w:p>
        </w:tc>
        <w:tc>
          <w:tcPr>
            <w:tcW w:w="100" w:type="dxa"/>
            <w:vAlign w:val="bottom"/>
            <w:shd w:val="clear" w:color="auto" w:fill="F8F4F1"/>
          </w:tcPr>
          <w:p>
            <w:pPr>
              <w:spacing w:after="0"/>
              <w:rPr>
                <w:sz w:val="20"/>
                <w:szCs w:val="20"/>
                <w:color w:val="auto"/>
              </w:rPr>
            </w:pPr>
          </w:p>
        </w:tc>
        <w:tc>
          <w:tcPr>
            <w:tcW w:w="200" w:type="dxa"/>
            <w:vAlign w:val="bottom"/>
            <w:shd w:val="clear" w:color="auto" w:fill="F8F4F1"/>
          </w:tcPr>
          <w:p>
            <w:pPr>
              <w:spacing w:after="0"/>
              <w:rPr>
                <w:sz w:val="20"/>
                <w:szCs w:val="20"/>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2,534,651</w:t>
            </w:r>
          </w:p>
        </w:tc>
        <w:tc>
          <w:tcPr>
            <w:tcW w:w="0" w:type="dxa"/>
            <w:vAlign w:val="bottom"/>
          </w:tcPr>
          <w:p>
            <w:pPr>
              <w:spacing w:after="0"/>
              <w:rPr>
                <w:sz w:val="1"/>
                <w:szCs w:val="1"/>
                <w:color w:val="auto"/>
              </w:rPr>
            </w:pPr>
          </w:p>
        </w:tc>
      </w:tr>
      <w:tr>
        <w:trPr>
          <w:trHeight w:val="203"/>
        </w:trPr>
        <w:tc>
          <w:tcPr>
            <w:tcW w:w="82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Commitments and Contingencies (</w:t>
            </w:r>
            <w:r>
              <w:rPr>
                <w:rFonts w:ascii="Times New Roman" w:cs="Times New Roman" w:eastAsia="Times New Roman" w:hAnsi="Times New Roman"/>
                <w:sz w:val="18"/>
                <w:szCs w:val="18"/>
                <w:b w:val="1"/>
                <w:bCs w:val="1"/>
                <w:color w:val="0000FF"/>
              </w:rPr>
              <w:t>Note 8</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200" w:type="dxa"/>
            <w:vAlign w:val="bottom"/>
            <w:gridSpan w:val="3"/>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20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rPr>
              <w:t>Shares-in-trust, 150,000,000 shares authorized; none outstanding as of September 30, 2026 or December 31,</w:t>
            </w:r>
          </w:p>
        </w:tc>
        <w:tc>
          <w:tcPr>
            <w:tcW w:w="200" w:type="dxa"/>
            <w:vAlign w:val="bottom"/>
          </w:tcPr>
          <w:p>
            <w:pPr>
              <w:spacing w:after="0"/>
              <w:rPr>
                <w:sz w:val="16"/>
                <w:szCs w:val="16"/>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200" w:type="dxa"/>
            <w:vAlign w:val="bottom"/>
            <w:gridSpan w:val="3"/>
            <w:shd w:val="clear" w:color="auto" w:fill="F8F4F1"/>
          </w:tcPr>
          <w:p>
            <w:pPr>
              <w:ind w:left="340"/>
              <w:spacing w:after="0" w:line="189" w:lineRule="exact"/>
              <w:rPr>
                <w:sz w:val="20"/>
                <w:szCs w:val="20"/>
                <w:color w:val="auto"/>
              </w:rPr>
            </w:pPr>
            <w:r>
              <w:rPr>
                <w:rFonts w:ascii="Times New Roman" w:cs="Times New Roman" w:eastAsia="Times New Roman" w:hAnsi="Times New Roman"/>
                <w:sz w:val="18"/>
                <w:szCs w:val="18"/>
                <w:color w:val="auto"/>
              </w:rPr>
              <w:t>Preferred stock, no par value, 100,000,000 shares authorized; none outstanding as of September 30, 2026 or</w:t>
            </w:r>
          </w:p>
        </w:tc>
        <w:tc>
          <w:tcPr>
            <w:tcW w:w="200" w:type="dxa"/>
            <w:vAlign w:val="bottom"/>
            <w:shd w:val="clear" w:color="auto" w:fill="F8F4F1"/>
          </w:tcPr>
          <w:p>
            <w:pPr>
              <w:spacing w:after="0"/>
              <w:rPr>
                <w:sz w:val="16"/>
                <w:szCs w:val="16"/>
                <w:color w:val="auto"/>
              </w:rPr>
            </w:pPr>
          </w:p>
        </w:tc>
        <w:tc>
          <w:tcPr>
            <w:tcW w:w="1360" w:type="dxa"/>
            <w:vAlign w:val="bottom"/>
            <w:gridSpan w:val="2"/>
            <w:vMerge w:val="restart"/>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16"/>
                <w:szCs w:val="16"/>
                <w:color w:val="auto"/>
              </w:rPr>
            </w:pPr>
          </w:p>
        </w:tc>
        <w:tc>
          <w:tcPr>
            <w:tcW w:w="12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50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shd w:val="clear" w:color="auto" w:fill="F8F4F1"/>
          </w:tcPr>
          <w:p>
            <w:pPr>
              <w:spacing w:after="0"/>
              <w:rPr>
                <w:sz w:val="21"/>
                <w:szCs w:val="21"/>
                <w:color w:val="auto"/>
              </w:rPr>
            </w:pPr>
          </w:p>
        </w:tc>
        <w:tc>
          <w:tcPr>
            <w:tcW w:w="1360" w:type="dxa"/>
            <w:vAlign w:val="bottom"/>
            <w:gridSpan w:val="2"/>
            <w:vMerge w:val="continue"/>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20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rPr>
              <w:t>Common stock, $0.01 par value, 750,000,000 shares authorized; 123,813,969 and 124,519,278 shares issued</w:t>
            </w: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and outstanding as of September 30, 2026 and December 31, 2025, respectively</w:t>
            </w:r>
          </w:p>
        </w:tc>
        <w:tc>
          <w:tcPr>
            <w:tcW w:w="2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F8F4F1"/>
          </w:tcPr>
          <w:p>
            <w:pPr>
              <w:spacing w:after="0"/>
              <w:rPr>
                <w:sz w:val="21"/>
                <w:szCs w:val="21"/>
                <w:color w:val="auto"/>
              </w:rPr>
            </w:pPr>
          </w:p>
        </w:tc>
        <w:tc>
          <w:tcPr>
            <w:tcW w:w="12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3,722,950</w:t>
            </w:r>
          </w:p>
        </w:tc>
        <w:tc>
          <w:tcPr>
            <w:tcW w:w="1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3,730,273</w:t>
            </w:r>
          </w:p>
        </w:tc>
        <w:tc>
          <w:tcPr>
            <w:tcW w:w="0" w:type="dxa"/>
            <w:vAlign w:val="bottom"/>
          </w:tcPr>
          <w:p>
            <w:pPr>
              <w:spacing w:after="0"/>
              <w:rPr>
                <w:sz w:val="1"/>
                <w:szCs w:val="1"/>
                <w:color w:val="auto"/>
              </w:rPr>
            </w:pPr>
          </w:p>
        </w:tc>
      </w:tr>
      <w:tr>
        <w:trPr>
          <w:trHeight w:val="243"/>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Cumulative distributions in excess of earnings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(2,272,393)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(2,227,350)</w:t>
            </w: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F8F4F1"/>
          </w:tcPr>
          <w:p>
            <w:pPr>
              <w:spacing w:after="0"/>
              <w:rPr>
                <w:sz w:val="21"/>
                <w:szCs w:val="21"/>
                <w:color w:val="auto"/>
              </w:rPr>
            </w:pPr>
          </w:p>
        </w:tc>
        <w:tc>
          <w:tcPr>
            <w:tcW w:w="12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(4,852)</w:t>
            </w:r>
          </w:p>
        </w:tc>
        <w:tc>
          <w:tcPr>
            <w:tcW w:w="100" w:type="dxa"/>
            <w:vAlign w:val="bottom"/>
            <w:shd w:val="clear" w:color="auto" w:fill="F8F4F1"/>
          </w:tcPr>
          <w:p>
            <w:pPr>
              <w:spacing w:after="0"/>
              <w:rPr>
                <w:sz w:val="21"/>
                <w:szCs w:val="21"/>
                <w:color w:val="auto"/>
              </w:rPr>
            </w:pPr>
          </w:p>
        </w:tc>
        <w:tc>
          <w:tcPr>
            <w:tcW w:w="2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0" w:type="dxa"/>
            <w:vAlign w:val="bottom"/>
          </w:tcPr>
          <w:p>
            <w:pPr>
              <w:spacing w:after="0"/>
              <w:rPr>
                <w:sz w:val="1"/>
                <w:szCs w:val="1"/>
                <w:color w:val="auto"/>
              </w:rPr>
            </w:pPr>
          </w:p>
        </w:tc>
      </w:tr>
      <w:tr>
        <w:trPr>
          <w:trHeight w:val="236"/>
        </w:trPr>
        <w:tc>
          <w:tcPr>
            <w:tcW w:w="8200" w:type="dxa"/>
            <w:vAlign w:val="bottom"/>
            <w:tcBorders>
              <w:bottom w:val="single" w:sz="8" w:color="F8F4F1"/>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Piedmont stockholders’ equity</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1,446,943</w:t>
            </w:r>
          </w:p>
        </w:tc>
        <w:tc>
          <w:tcPr>
            <w:tcW w:w="100" w:type="dxa"/>
            <w:vAlign w:val="bottom"/>
            <w:tcBorders>
              <w:bottom w:val="single" w:sz="8" w:color="F8F4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1,495,201</w:t>
            </w:r>
          </w:p>
        </w:tc>
        <w:tc>
          <w:tcPr>
            <w:tcW w:w="0" w:type="dxa"/>
            <w:vAlign w:val="bottom"/>
          </w:tcPr>
          <w:p>
            <w:pPr>
              <w:spacing w:after="0"/>
              <w:rPr>
                <w:sz w:val="1"/>
                <w:szCs w:val="1"/>
                <w:color w:val="auto"/>
              </w:rPr>
            </w:pPr>
          </w:p>
        </w:tc>
      </w:tr>
      <w:tr>
        <w:trPr>
          <w:trHeight w:val="236"/>
        </w:trPr>
        <w:tc>
          <w:tcPr>
            <w:tcW w:w="8200" w:type="dxa"/>
            <w:vAlign w:val="bottom"/>
            <w:gridSpan w:val="3"/>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F8F4F1"/>
          </w:tcPr>
          <w:p>
            <w:pPr>
              <w:spacing w:after="0"/>
              <w:rPr>
                <w:sz w:val="20"/>
                <w:szCs w:val="20"/>
                <w:color w:val="auto"/>
              </w:rPr>
            </w:pPr>
          </w:p>
        </w:tc>
        <w:tc>
          <w:tcPr>
            <w:tcW w:w="12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100" w:type="dxa"/>
            <w:vAlign w:val="bottom"/>
            <w:shd w:val="clear" w:color="auto" w:fill="F8F4F1"/>
          </w:tcPr>
          <w:p>
            <w:pPr>
              <w:spacing w:after="0"/>
              <w:rPr>
                <w:sz w:val="20"/>
                <w:szCs w:val="20"/>
                <w:color w:val="auto"/>
              </w:rPr>
            </w:pPr>
          </w:p>
        </w:tc>
        <w:tc>
          <w:tcPr>
            <w:tcW w:w="200" w:type="dxa"/>
            <w:vAlign w:val="bottom"/>
            <w:tcBorders>
              <w:bottom w:val="single" w:sz="8" w:color="auto"/>
            </w:tcBorders>
            <w:shd w:val="clear" w:color="auto" w:fill="F8F4F1"/>
          </w:tcPr>
          <w:p>
            <w:pPr>
              <w:spacing w:after="0"/>
              <w:rPr>
                <w:sz w:val="20"/>
                <w:szCs w:val="20"/>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F8F4F1"/>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1,448,432</w:t>
            </w:r>
          </w:p>
        </w:tc>
        <w:tc>
          <w:tcPr>
            <w:tcW w:w="100" w:type="dxa"/>
            <w:vAlign w:val="bottom"/>
            <w:tcBorders>
              <w:bottom w:val="single" w:sz="8" w:color="F8F4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1,496,703</w:t>
            </w:r>
          </w:p>
        </w:tc>
        <w:tc>
          <w:tcPr>
            <w:tcW w:w="0" w:type="dxa"/>
            <w:vAlign w:val="bottom"/>
          </w:tcPr>
          <w:p>
            <w:pPr>
              <w:spacing w:after="0"/>
              <w:rPr>
                <w:sz w:val="1"/>
                <w:szCs w:val="1"/>
                <w:color w:val="auto"/>
              </w:rPr>
            </w:pPr>
          </w:p>
        </w:tc>
      </w:tr>
      <w:tr>
        <w:trPr>
          <w:trHeight w:val="261"/>
        </w:trPr>
        <w:tc>
          <w:tcPr>
            <w:tcW w:w="8200" w:type="dxa"/>
            <w:vAlign w:val="bottom"/>
            <w:tcBorders>
              <w:bottom w:val="single" w:sz="8" w:color="F8F4F1"/>
            </w:tcBorders>
            <w:gridSpan w:val="3"/>
            <w:shd w:val="clear" w:color="auto" w:fill="F8F4F1"/>
          </w:tcPr>
          <w:p>
            <w:pPr>
              <w:ind w:left="1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4,091,613</w:t>
            </w:r>
          </w:p>
        </w:tc>
        <w:tc>
          <w:tcPr>
            <w:tcW w:w="100" w:type="dxa"/>
            <w:vAlign w:val="bottom"/>
            <w:tcBorders>
              <w:bottom w:val="single" w:sz="8" w:color="F8F4F1"/>
            </w:tcBorders>
            <w:shd w:val="clear" w:color="auto" w:fill="F8F4F1"/>
          </w:tcPr>
          <w:p>
            <w:pPr>
              <w:spacing w:after="0"/>
              <w:rPr>
                <w:sz w:val="22"/>
                <w:szCs w:val="22"/>
                <w:color w:val="auto"/>
              </w:rPr>
            </w:pPr>
          </w:p>
        </w:tc>
        <w:tc>
          <w:tcPr>
            <w:tcW w:w="2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4,031,354</w:t>
            </w:r>
          </w:p>
        </w:tc>
        <w:tc>
          <w:tcPr>
            <w:tcW w:w="0" w:type="dxa"/>
            <w:vAlign w:val="bottom"/>
          </w:tcPr>
          <w:p>
            <w:pPr>
              <w:spacing w:after="0"/>
              <w:rPr>
                <w:sz w:val="1"/>
                <w:szCs w:val="1"/>
                <w:color w:val="auto"/>
              </w:rPr>
            </w:pPr>
          </w:p>
        </w:tc>
      </w:tr>
      <w:tr>
        <w:trPr>
          <w:trHeight w:val="20"/>
        </w:trPr>
        <w:tc>
          <w:tcPr>
            <w:tcW w:w="2680" w:type="dxa"/>
            <w:vAlign w:val="bottom"/>
            <w:tcBorders>
              <w:top w:val="single" w:sz="8" w:color="F8F4F1"/>
            </w:tcBorders>
          </w:tcPr>
          <w:p>
            <w:pPr>
              <w:spacing w:after="0" w:line="20" w:lineRule="exact"/>
              <w:rPr>
                <w:sz w:val="1"/>
                <w:szCs w:val="1"/>
                <w:color w:val="auto"/>
              </w:rPr>
            </w:pPr>
          </w:p>
        </w:tc>
        <w:tc>
          <w:tcPr>
            <w:tcW w:w="480" w:type="dxa"/>
            <w:vAlign w:val="bottom"/>
            <w:tcBorders>
              <w:top w:val="single" w:sz="8" w:color="F8F4F1"/>
            </w:tcBorders>
          </w:tcPr>
          <w:p>
            <w:pPr>
              <w:spacing w:after="0" w:line="20" w:lineRule="exact"/>
              <w:rPr>
                <w:sz w:val="1"/>
                <w:szCs w:val="1"/>
                <w:color w:val="auto"/>
              </w:rPr>
            </w:pPr>
          </w:p>
        </w:tc>
        <w:tc>
          <w:tcPr>
            <w:tcW w:w="504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260" w:type="dxa"/>
            <w:vAlign w:val="bottom"/>
            <w:tcBorders>
              <w:top w:val="single" w:sz="8" w:color="F8F4F1"/>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24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118" w:right="35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520" w:type="dxa"/>
            <w:vAlign w:val="bottom"/>
            <w:gridSpan w:val="4"/>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Rental and tenant reimbursement revenue</w:t>
            </w:r>
          </w:p>
        </w:tc>
        <w:tc>
          <w:tcPr>
            <w:tcW w:w="2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144,164</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133,030</w:t>
            </w:r>
          </w:p>
        </w:tc>
        <w:tc>
          <w:tcPr>
            <w:tcW w:w="100" w:type="dxa"/>
            <w:vAlign w:val="bottom"/>
            <w:shd w:val="clear" w:color="auto" w:fill="F8F4F1"/>
          </w:tcPr>
          <w:p>
            <w:pPr>
              <w:spacing w:after="0"/>
              <w:rPr>
                <w:sz w:val="21"/>
                <w:szCs w:val="21"/>
                <w:color w:val="auto"/>
              </w:rPr>
            </w:pPr>
          </w:p>
        </w:tc>
        <w:tc>
          <w:tcPr>
            <w:tcW w:w="2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417,870</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403,048</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management fee revenue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Other property related income</w:t>
            </w:r>
          </w:p>
        </w:tc>
        <w:tc>
          <w:tcPr>
            <w:tcW w:w="2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6,905</w:t>
            </w:r>
          </w:p>
        </w:tc>
        <w:tc>
          <w:tcPr>
            <w:tcW w:w="120" w:type="dxa"/>
            <w:vAlign w:val="bottom"/>
            <w:shd w:val="clear" w:color="auto" w:fill="F8F4F1"/>
          </w:tcPr>
          <w:p>
            <w:pPr>
              <w:spacing w:after="0"/>
              <w:rPr>
                <w:sz w:val="21"/>
                <w:szCs w:val="21"/>
                <w:color w:val="auto"/>
              </w:rPr>
            </w:pPr>
          </w:p>
        </w:tc>
        <w:tc>
          <w:tcPr>
            <w:tcW w:w="220" w:type="dxa"/>
            <w:vAlign w:val="bottom"/>
            <w:tcBorders>
              <w:bottom w:val="single" w:sz="8" w:color="auto"/>
            </w:tcBorders>
            <w:shd w:val="clear" w:color="auto" w:fill="F8F4F1"/>
          </w:tcPr>
          <w:p>
            <w:pPr>
              <w:spacing w:after="0"/>
              <w:rPr>
                <w:sz w:val="21"/>
                <w:szCs w:val="21"/>
                <w:color w:val="auto"/>
              </w:rPr>
            </w:pP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F8F4F1"/>
          </w:tcPr>
          <w:p>
            <w:pPr>
              <w:spacing w:after="0"/>
              <w:rPr>
                <w:sz w:val="21"/>
                <w:szCs w:val="21"/>
                <w:color w:val="auto"/>
              </w:rPr>
            </w:pPr>
          </w:p>
        </w:tc>
        <w:tc>
          <w:tcPr>
            <w:tcW w:w="2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20,350</w:t>
            </w:r>
          </w:p>
        </w:tc>
        <w:tc>
          <w:tcPr>
            <w:tcW w:w="120" w:type="dxa"/>
            <w:vAlign w:val="bottom"/>
            <w:shd w:val="clear" w:color="auto" w:fill="F8F4F1"/>
          </w:tcPr>
          <w:p>
            <w:pPr>
              <w:spacing w:after="0"/>
              <w:rPr>
                <w:sz w:val="21"/>
                <w:szCs w:val="21"/>
                <w:color w:val="auto"/>
              </w:rPr>
            </w:pPr>
          </w:p>
        </w:tc>
        <w:tc>
          <w:tcPr>
            <w:tcW w:w="220" w:type="dxa"/>
            <w:vAlign w:val="bottom"/>
            <w:tcBorders>
              <w:bottom w:val="single" w:sz="8" w:color="auto"/>
            </w:tcBorders>
            <w:shd w:val="clear" w:color="auto" w:fill="F8F4F1"/>
          </w:tcPr>
          <w:p>
            <w:pPr>
              <w:spacing w:after="0"/>
              <w:rPr>
                <w:sz w:val="21"/>
                <w:szCs w:val="21"/>
                <w:color w:val="auto"/>
              </w:rPr>
            </w:pP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151,236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438,653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422,141</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operating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169,414</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46,123</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100" w:type="dxa"/>
            <w:vAlign w:val="bottom"/>
            <w:shd w:val="clear" w:color="auto" w:fill="F8F4F1"/>
          </w:tcPr>
          <w:p>
            <w:pPr>
              <w:spacing w:after="0"/>
              <w:rPr>
                <w:sz w:val="21"/>
                <w:szCs w:val="21"/>
                <w:color w:val="auto"/>
              </w:rPr>
            </w:pP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134,975</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123,666</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45,394</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9,057</w:t>
            </w:r>
          </w:p>
        </w:tc>
        <w:tc>
          <w:tcPr>
            <w:tcW w:w="120" w:type="dxa"/>
            <w:vAlign w:val="bottom"/>
            <w:shd w:val="clear" w:color="auto" w:fill="F8F4F1"/>
          </w:tcPr>
          <w:p>
            <w:pPr>
              <w:spacing w:after="0"/>
              <w:rPr>
                <w:sz w:val="21"/>
                <w:szCs w:val="21"/>
                <w:color w:val="auto"/>
              </w:rPr>
            </w:pPr>
          </w:p>
        </w:tc>
        <w:tc>
          <w:tcPr>
            <w:tcW w:w="220" w:type="dxa"/>
            <w:vAlign w:val="bottom"/>
            <w:tcBorders>
              <w:bottom w:val="single" w:sz="8" w:color="auto"/>
            </w:tcBorders>
            <w:shd w:val="clear" w:color="auto" w:fill="F8F4F1"/>
          </w:tcPr>
          <w:p>
            <w:pPr>
              <w:spacing w:after="0"/>
              <w:rPr>
                <w:sz w:val="21"/>
                <w:szCs w:val="21"/>
                <w:color w:val="auto"/>
              </w:rPr>
            </w:pP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shd w:val="clear" w:color="auto" w:fill="F8F4F1"/>
          </w:tcPr>
          <w:p>
            <w:pPr>
              <w:spacing w:after="0"/>
              <w:rPr>
                <w:sz w:val="21"/>
                <w:szCs w:val="21"/>
                <w:color w:val="auto"/>
              </w:rPr>
            </w:pPr>
          </w:p>
        </w:tc>
        <w:tc>
          <w:tcPr>
            <w:tcW w:w="2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25,203</w:t>
            </w:r>
          </w:p>
        </w:tc>
        <w:tc>
          <w:tcPr>
            <w:tcW w:w="120" w:type="dxa"/>
            <w:vAlign w:val="bottom"/>
            <w:shd w:val="clear" w:color="auto" w:fill="F8F4F1"/>
          </w:tcPr>
          <w:p>
            <w:pPr>
              <w:spacing w:after="0"/>
              <w:rPr>
                <w:sz w:val="21"/>
                <w:szCs w:val="21"/>
                <w:color w:val="auto"/>
              </w:rPr>
            </w:pPr>
          </w:p>
        </w:tc>
        <w:tc>
          <w:tcPr>
            <w:tcW w:w="220" w:type="dxa"/>
            <w:vAlign w:val="bottom"/>
            <w:tcBorders>
              <w:bottom w:val="single" w:sz="8" w:color="auto"/>
            </w:tcBorders>
            <w:shd w:val="clear" w:color="auto" w:fill="F8F4F1"/>
          </w:tcPr>
          <w:p>
            <w:pPr>
              <w:spacing w:after="0"/>
              <w:rPr>
                <w:sz w:val="21"/>
                <w:szCs w:val="21"/>
                <w:color w:val="auto"/>
              </w:rPr>
            </w:pP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129,254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377,294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361,604</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(95,599)</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F8F4F1"/>
          </w:tcPr>
          <w:p>
            <w:pPr>
              <w:spacing w:after="0"/>
              <w:rPr>
                <w:sz w:val="21"/>
                <w:szCs w:val="21"/>
                <w:color w:val="auto"/>
              </w:rPr>
            </w:pP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792</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4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20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spacing w:after="0"/>
              <w:rPr>
                <w:sz w:val="21"/>
                <w:szCs w:val="21"/>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F8F4F1"/>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(43,006)</w:t>
            </w:r>
          </w:p>
        </w:tc>
        <w:tc>
          <w:tcPr>
            <w:tcW w:w="120" w:type="dxa"/>
            <w:vAlign w:val="bottom"/>
            <w:tcBorders>
              <w:bottom w:val="single" w:sz="8" w:color="F8F4F1"/>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(31,808)</w:t>
            </w:r>
          </w:p>
        </w:tc>
        <w:tc>
          <w:tcPr>
            <w:tcW w:w="100" w:type="dxa"/>
            <w:vAlign w:val="bottom"/>
            <w:tcBorders>
              <w:bottom w:val="single" w:sz="8" w:color="F8F4F1"/>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(106,395)</w:t>
            </w:r>
          </w:p>
        </w:tc>
        <w:tc>
          <w:tcPr>
            <w:tcW w:w="120" w:type="dxa"/>
            <w:vAlign w:val="bottom"/>
            <w:tcBorders>
              <w:bottom w:val="single" w:sz="8" w:color="F8F4F1"/>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(100,898)</w:t>
            </w:r>
          </w:p>
        </w:tc>
        <w:tc>
          <w:tcPr>
            <w:tcW w:w="0" w:type="dxa"/>
            <w:vAlign w:val="bottom"/>
          </w:tcPr>
          <w:p>
            <w:pPr>
              <w:spacing w:after="0"/>
              <w:rPr>
                <w:sz w:val="1"/>
                <w:szCs w:val="1"/>
                <w:color w:val="auto"/>
              </w:rPr>
            </w:pPr>
          </w:p>
        </w:tc>
      </w:tr>
      <w:tr>
        <w:trPr>
          <w:trHeight w:val="237"/>
        </w:trPr>
        <w:tc>
          <w:tcPr>
            <w:tcW w:w="56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F8F4F1"/>
          </w:tcPr>
          <w:p>
            <w:pPr>
              <w:spacing w:after="0"/>
              <w:rPr>
                <w:sz w:val="20"/>
                <w:szCs w:val="20"/>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(21,024)</w:t>
            </w:r>
          </w:p>
        </w:tc>
        <w:tc>
          <w:tcPr>
            <w:tcW w:w="120" w:type="dxa"/>
            <w:vAlign w:val="bottom"/>
            <w:shd w:val="clear" w:color="auto" w:fill="F8F4F1"/>
          </w:tcPr>
          <w:p>
            <w:pPr>
              <w:spacing w:after="0"/>
              <w:rPr>
                <w:sz w:val="20"/>
                <w:szCs w:val="20"/>
                <w:color w:val="auto"/>
              </w:rPr>
            </w:pPr>
          </w:p>
        </w:tc>
        <w:tc>
          <w:tcPr>
            <w:tcW w:w="220" w:type="dxa"/>
            <w:vAlign w:val="bottom"/>
            <w:shd w:val="clear" w:color="auto" w:fill="F8F4F1"/>
          </w:tcPr>
          <w:p>
            <w:pPr>
              <w:spacing w:after="0"/>
              <w:rPr>
                <w:sz w:val="20"/>
                <w:szCs w:val="20"/>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100" w:type="dxa"/>
            <w:vAlign w:val="bottom"/>
            <w:shd w:val="clear" w:color="auto" w:fill="F8F4F1"/>
          </w:tcPr>
          <w:p>
            <w:pPr>
              <w:spacing w:after="0"/>
              <w:rPr>
                <w:sz w:val="20"/>
                <w:szCs w:val="20"/>
                <w:color w:val="auto"/>
              </w:rPr>
            </w:pPr>
          </w:p>
        </w:tc>
        <w:tc>
          <w:tcPr>
            <w:tcW w:w="240" w:type="dxa"/>
            <w:vAlign w:val="bottom"/>
            <w:shd w:val="clear" w:color="auto" w:fill="F8F4F1"/>
          </w:tcPr>
          <w:p>
            <w:pPr>
              <w:spacing w:after="0"/>
              <w:rPr>
                <w:sz w:val="20"/>
                <w:szCs w:val="20"/>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(45,036)</w:t>
            </w:r>
          </w:p>
        </w:tc>
        <w:tc>
          <w:tcPr>
            <w:tcW w:w="120" w:type="dxa"/>
            <w:vAlign w:val="bottom"/>
            <w:shd w:val="clear" w:color="auto" w:fill="F8F4F1"/>
          </w:tcPr>
          <w:p>
            <w:pPr>
              <w:spacing w:after="0"/>
              <w:rPr>
                <w:sz w:val="20"/>
                <w:szCs w:val="20"/>
                <w:color w:val="auto"/>
              </w:rPr>
            </w:pPr>
          </w:p>
        </w:tc>
        <w:tc>
          <w:tcPr>
            <w:tcW w:w="220" w:type="dxa"/>
            <w:vAlign w:val="bottom"/>
            <w:shd w:val="clear" w:color="auto" w:fill="F8F4F1"/>
          </w:tcPr>
          <w:p>
            <w:pPr>
              <w:spacing w:after="0"/>
              <w:rPr>
                <w:sz w:val="20"/>
                <w:szCs w:val="20"/>
                <w:color w:val="auto"/>
              </w:rPr>
            </w:pP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F8F4F1"/>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 applicable to noncontrolling interest</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F8F4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F8F4F1"/>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F8F4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applicable to Piedmont</w:t>
            </w:r>
          </w:p>
        </w:tc>
        <w:tc>
          <w:tcPr>
            <w:tcW w:w="24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(21,022)</w:t>
            </w:r>
          </w:p>
        </w:tc>
        <w:tc>
          <w:tcPr>
            <w:tcW w:w="120" w:type="dxa"/>
            <w:vAlign w:val="bottom"/>
            <w:tcBorders>
              <w:bottom w:val="single" w:sz="8" w:color="F8F4F1"/>
            </w:tcBorders>
            <w:shd w:val="clear" w:color="auto" w:fill="F8F4F1"/>
          </w:tcPr>
          <w:p>
            <w:pPr>
              <w:spacing w:after="0"/>
              <w:rPr>
                <w:sz w:val="19"/>
                <w:szCs w:val="19"/>
                <w:color w:val="auto"/>
              </w:rPr>
            </w:pPr>
          </w:p>
        </w:tc>
        <w:tc>
          <w:tcPr>
            <w:tcW w:w="22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F8F4F1"/>
            </w:tcBorders>
            <w:shd w:val="clear" w:color="auto" w:fill="F8F4F1"/>
          </w:tcPr>
          <w:p>
            <w:pPr>
              <w:spacing w:after="0"/>
              <w:rPr>
                <w:sz w:val="19"/>
                <w:szCs w:val="19"/>
                <w:color w:val="auto"/>
              </w:rPr>
            </w:pPr>
          </w:p>
        </w:tc>
        <w:tc>
          <w:tcPr>
            <w:tcW w:w="24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(45,043)</w:t>
            </w:r>
          </w:p>
        </w:tc>
        <w:tc>
          <w:tcPr>
            <w:tcW w:w="120" w:type="dxa"/>
            <w:vAlign w:val="bottom"/>
            <w:tcBorders>
              <w:bottom w:val="single" w:sz="8" w:color="F8F4F1"/>
            </w:tcBorders>
            <w:shd w:val="clear" w:color="auto" w:fill="F8F4F1"/>
          </w:tcPr>
          <w:p>
            <w:pPr>
              <w:spacing w:after="0"/>
              <w:rPr>
                <w:sz w:val="19"/>
                <w:szCs w:val="19"/>
                <w:color w:val="auto"/>
              </w:rPr>
            </w:pPr>
          </w:p>
        </w:tc>
        <w:tc>
          <w:tcPr>
            <w:tcW w:w="22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0" w:type="dxa"/>
            <w:vAlign w:val="bottom"/>
          </w:tcPr>
          <w:p>
            <w:pPr>
              <w:spacing w:after="0"/>
              <w:rPr>
                <w:sz w:val="1"/>
                <w:szCs w:val="1"/>
                <w:color w:val="auto"/>
              </w:rPr>
            </w:pPr>
          </w:p>
        </w:tc>
      </w:tr>
      <w:tr>
        <w:trPr>
          <w:trHeight w:val="20"/>
        </w:trPr>
        <w:tc>
          <w:tcPr>
            <w:tcW w:w="5620" w:type="dxa"/>
            <w:vAlign w:val="bottom"/>
            <w:tcBorders>
              <w:top w:val="single" w:sz="8" w:color="F8F4F1"/>
              <w:bottom w:val="single" w:sz="8" w:color="F8F4F1"/>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 basic and diluted:</w:t>
            </w:r>
          </w:p>
        </w:tc>
        <w:tc>
          <w:tcPr>
            <w:tcW w:w="240" w:type="dxa"/>
            <w:vAlign w:val="bottom"/>
            <w:tcBorders>
              <w:top w:val="single" w:sz="8" w:color="F8F4F1"/>
              <w:bottom w:val="single" w:sz="8" w:color="auto"/>
            </w:tcBorders>
          </w:tcPr>
          <w:p>
            <w:pPr>
              <w:spacing w:after="0" w:line="20" w:lineRule="exact"/>
              <w:rPr>
                <w:sz w:val="1"/>
                <w:szCs w:val="1"/>
                <w:color w:val="auto"/>
              </w:rPr>
            </w:pPr>
          </w:p>
        </w:tc>
        <w:tc>
          <w:tcPr>
            <w:tcW w:w="108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100" w:type="dxa"/>
            <w:vAlign w:val="bottom"/>
            <w:tcBorders>
              <w:top w:val="single" w:sz="8" w:color="F8F4F1"/>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240" w:type="dxa"/>
            <w:vAlign w:val="bottom"/>
            <w:tcBorders>
              <w:top w:val="single" w:sz="8" w:color="F8F4F1"/>
              <w:bottom w:val="single" w:sz="8" w:color="auto"/>
            </w:tcBorders>
          </w:tcPr>
          <w:p>
            <w:pPr>
              <w:spacing w:after="0" w:line="20" w:lineRule="exact"/>
              <w:rPr>
                <w:sz w:val="1"/>
                <w:szCs w:val="1"/>
                <w:color w:val="auto"/>
              </w:rPr>
            </w:pPr>
          </w:p>
        </w:tc>
        <w:tc>
          <w:tcPr>
            <w:tcW w:w="108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10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F8F4F1"/>
            </w:tcBorders>
            <w:shd w:val="clear" w:color="auto" w:fill="F8F4F1"/>
          </w:tcPr>
          <w:p>
            <w:pPr>
              <w:ind w:left="36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20" w:type="dxa"/>
            <w:vAlign w:val="bottom"/>
            <w:tcBorders>
              <w:bottom w:val="single" w:sz="8" w:color="F8F4F1"/>
            </w:tcBorders>
            <w:shd w:val="clear" w:color="auto" w:fill="F8F4F1"/>
          </w:tcPr>
          <w:p>
            <w:pPr>
              <w:spacing w:after="0"/>
              <w:rPr>
                <w:sz w:val="20"/>
                <w:szCs w:val="20"/>
                <w:color w:val="auto"/>
              </w:rPr>
            </w:pPr>
          </w:p>
        </w:tc>
        <w:tc>
          <w:tcPr>
            <w:tcW w:w="22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F8F4F1"/>
            </w:tcBorders>
            <w:shd w:val="clear" w:color="auto" w:fill="F8F4F1"/>
          </w:tcPr>
          <w:p>
            <w:pPr>
              <w:spacing w:after="0"/>
              <w:rPr>
                <w:sz w:val="20"/>
                <w:szCs w:val="20"/>
                <w:color w:val="auto"/>
              </w:rPr>
            </w:pPr>
          </w:p>
        </w:tc>
        <w:tc>
          <w:tcPr>
            <w:tcW w:w="24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20" w:type="dxa"/>
            <w:vAlign w:val="bottom"/>
            <w:tcBorders>
              <w:bottom w:val="single" w:sz="8" w:color="F8F4F1"/>
            </w:tcBorders>
            <w:shd w:val="clear" w:color="auto" w:fill="F8F4F1"/>
          </w:tcPr>
          <w:p>
            <w:pPr>
              <w:spacing w:after="0"/>
              <w:rPr>
                <w:sz w:val="20"/>
                <w:szCs w:val="20"/>
                <w:color w:val="auto"/>
              </w:rPr>
            </w:pPr>
          </w:p>
        </w:tc>
        <w:tc>
          <w:tcPr>
            <w:tcW w:w="22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5620" w:type="dxa"/>
            <w:vAlign w:val="bottom"/>
            <w:tcBorders>
              <w:top w:val="single" w:sz="8" w:color="F8F4F1"/>
              <w:bottom w:val="single" w:sz="8" w:color="F8F4F1"/>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basic and diluted</w:t>
            </w:r>
          </w:p>
        </w:tc>
        <w:tc>
          <w:tcPr>
            <w:tcW w:w="240" w:type="dxa"/>
            <w:vAlign w:val="bottom"/>
            <w:tcBorders>
              <w:top w:val="single" w:sz="8" w:color="F8F4F1"/>
              <w:bottom w:val="single" w:sz="8" w:color="auto"/>
            </w:tcBorders>
          </w:tcPr>
          <w:p>
            <w:pPr>
              <w:spacing w:after="0" w:line="20" w:lineRule="exact"/>
              <w:rPr>
                <w:sz w:val="1"/>
                <w:szCs w:val="1"/>
                <w:color w:val="auto"/>
              </w:rPr>
            </w:pPr>
          </w:p>
        </w:tc>
        <w:tc>
          <w:tcPr>
            <w:tcW w:w="108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100" w:type="dxa"/>
            <w:vAlign w:val="bottom"/>
            <w:tcBorders>
              <w:top w:val="single" w:sz="8" w:color="F8F4F1"/>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240" w:type="dxa"/>
            <w:vAlign w:val="bottom"/>
            <w:tcBorders>
              <w:top w:val="single" w:sz="8" w:color="F8F4F1"/>
              <w:bottom w:val="single" w:sz="8" w:color="auto"/>
            </w:tcBorders>
          </w:tcPr>
          <w:p>
            <w:pPr>
              <w:spacing w:after="0" w:line="20" w:lineRule="exact"/>
              <w:rPr>
                <w:sz w:val="1"/>
                <w:szCs w:val="1"/>
                <w:color w:val="auto"/>
              </w:rPr>
            </w:pPr>
          </w:p>
        </w:tc>
        <w:tc>
          <w:tcPr>
            <w:tcW w:w="108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10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124,948,197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124,502,203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124,945,785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124,407,265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6"/>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5"/>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applicable to Piedmont</w:t>
            </w:r>
          </w:p>
        </w:tc>
        <w:tc>
          <w:tcPr>
            <w:tcW w:w="1680" w:type="dxa"/>
            <w:vAlign w:val="bottom"/>
            <w:gridSpan w:val="3"/>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 (21,022)</w:t>
            </w:r>
          </w:p>
        </w:tc>
        <w:tc>
          <w:tcPr>
            <w:tcW w:w="80" w:type="dxa"/>
            <w:vAlign w:val="bottom"/>
            <w:shd w:val="clear" w:color="auto" w:fill="F8F4F1"/>
          </w:tcPr>
          <w:p>
            <w:pPr>
              <w:spacing w:after="0"/>
              <w:rPr>
                <w:sz w:val="21"/>
                <w:szCs w:val="21"/>
                <w:color w:val="auto"/>
              </w:rPr>
            </w:pPr>
          </w:p>
        </w:tc>
        <w:tc>
          <w:tcPr>
            <w:tcW w:w="420" w:type="dxa"/>
            <w:vAlign w:val="bottom"/>
            <w:shd w:val="clear" w:color="auto" w:fill="F8F4F1"/>
          </w:tcPr>
          <w:p>
            <w:pPr>
              <w:spacing w:after="0"/>
              <w:rPr>
                <w:sz w:val="21"/>
                <w:szCs w:val="21"/>
                <w:color w:val="auto"/>
              </w:rPr>
            </w:pPr>
          </w:p>
        </w:tc>
        <w:tc>
          <w:tcPr>
            <w:tcW w:w="1240" w:type="dxa"/>
            <w:vAlign w:val="bottom"/>
            <w:gridSpan w:val="3"/>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 (13,462)</w:t>
            </w:r>
          </w:p>
        </w:tc>
        <w:tc>
          <w:tcPr>
            <w:tcW w:w="1280" w:type="dxa"/>
            <w:vAlign w:val="bottom"/>
            <w:gridSpan w:val="4"/>
            <w:shd w:val="clear" w:color="auto" w:fill="F8F4F1"/>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(45,043)</w:t>
            </w:r>
          </w:p>
        </w:tc>
        <w:tc>
          <w:tcPr>
            <w:tcW w:w="80" w:type="dxa"/>
            <w:vAlign w:val="bottom"/>
            <w:shd w:val="clear" w:color="auto" w:fill="F8F4F1"/>
          </w:tcPr>
          <w:p>
            <w:pPr>
              <w:spacing w:after="0"/>
              <w:rPr>
                <w:sz w:val="21"/>
                <w:szCs w:val="21"/>
                <w:color w:val="auto"/>
              </w:rPr>
            </w:pPr>
          </w:p>
        </w:tc>
        <w:tc>
          <w:tcPr>
            <w:tcW w:w="580" w:type="dxa"/>
            <w:vAlign w:val="bottom"/>
            <w:shd w:val="clear" w:color="auto" w:fill="F8F4F1"/>
          </w:tcPr>
          <w:p>
            <w:pPr>
              <w:spacing w:after="0"/>
              <w:rPr>
                <w:sz w:val="21"/>
                <w:szCs w:val="21"/>
                <w:color w:val="auto"/>
              </w:rPr>
            </w:pPr>
          </w:p>
        </w:tc>
        <w:tc>
          <w:tcPr>
            <w:tcW w:w="620" w:type="dxa"/>
            <w:vAlign w:val="bottom"/>
            <w:gridSpan w:val="3"/>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0" w:type="dxa"/>
            <w:vAlign w:val="bottom"/>
          </w:tcPr>
          <w:p>
            <w:pPr>
              <w:spacing w:after="0"/>
              <w:rPr>
                <w:sz w:val="1"/>
                <w:szCs w:val="1"/>
                <w:color w:val="auto"/>
              </w:rPr>
            </w:pPr>
          </w:p>
        </w:tc>
      </w:tr>
      <w:tr>
        <w:trPr>
          <w:trHeight w:val="223"/>
        </w:trPr>
        <w:tc>
          <w:tcPr>
            <w:tcW w:w="38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00" w:type="dxa"/>
            <w:vAlign w:val="bottom"/>
            <w:gridSpan w:val="5"/>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Effective portion of gain on derivative instruments</w:t>
            </w:r>
          </w:p>
        </w:tc>
        <w:tc>
          <w:tcPr>
            <w:tcW w:w="80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80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420" w:type="dxa"/>
            <w:vAlign w:val="bottom"/>
            <w:shd w:val="clear" w:color="auto" w:fill="F8F4F1"/>
          </w:tcPr>
          <w:p>
            <w:pPr>
              <w:spacing w:after="0"/>
              <w:rPr>
                <w:sz w:val="16"/>
                <w:szCs w:val="16"/>
                <w:color w:val="auto"/>
              </w:rPr>
            </w:pPr>
          </w:p>
        </w:tc>
        <w:tc>
          <w:tcPr>
            <w:tcW w:w="36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80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92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72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580" w:type="dxa"/>
            <w:vAlign w:val="bottom"/>
            <w:shd w:val="clear" w:color="auto" w:fill="F8F4F1"/>
          </w:tcPr>
          <w:p>
            <w:pPr>
              <w:spacing w:after="0"/>
              <w:rPr>
                <w:sz w:val="16"/>
                <w:szCs w:val="16"/>
                <w:color w:val="auto"/>
              </w:rPr>
            </w:pPr>
          </w:p>
        </w:tc>
        <w:tc>
          <w:tcPr>
            <w:tcW w:w="34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7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0" w:type="dxa"/>
            <w:vAlign w:val="bottom"/>
            <w:gridSpan w:val="5"/>
            <w:shd w:val="clear" w:color="auto" w:fill="F8F4F1"/>
          </w:tcPr>
          <w:p>
            <w:pPr>
              <w:ind w:left="20"/>
              <w:spacing w:after="0" w:line="184" w:lineRule="exact"/>
              <w:rPr>
                <w:sz w:val="20"/>
                <w:szCs w:val="20"/>
                <w:color w:val="auto"/>
              </w:rPr>
            </w:pPr>
            <w:r>
              <w:rPr>
                <w:rFonts w:ascii="Times New Roman" w:cs="Times New Roman" w:eastAsia="Times New Roman" w:hAnsi="Times New Roman"/>
                <w:sz w:val="18"/>
                <w:szCs w:val="18"/>
                <w:color w:val="auto"/>
              </w:rPr>
              <w:t>that are designated and qualify as cash flow hedges</w:t>
            </w:r>
          </w:p>
        </w:tc>
        <w:tc>
          <w:tcPr>
            <w:tcW w:w="80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80" w:type="dxa"/>
            <w:vAlign w:val="bottom"/>
            <w:shd w:val="clear" w:color="auto" w:fill="F8F4F1"/>
          </w:tcPr>
          <w:p>
            <w:pPr>
              <w:spacing w:after="0"/>
              <w:rPr>
                <w:sz w:val="16"/>
                <w:szCs w:val="16"/>
                <w:color w:val="auto"/>
              </w:rPr>
            </w:pPr>
          </w:p>
        </w:tc>
        <w:tc>
          <w:tcPr>
            <w:tcW w:w="80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420" w:type="dxa"/>
            <w:vAlign w:val="bottom"/>
            <w:shd w:val="clear" w:color="auto" w:fill="F8F4F1"/>
          </w:tcPr>
          <w:p>
            <w:pPr>
              <w:spacing w:after="0"/>
              <w:rPr>
                <w:sz w:val="16"/>
                <w:szCs w:val="16"/>
                <w:color w:val="auto"/>
              </w:rPr>
            </w:pPr>
          </w:p>
        </w:tc>
        <w:tc>
          <w:tcPr>
            <w:tcW w:w="36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800" w:type="dxa"/>
            <w:vAlign w:val="bottom"/>
            <w:shd w:val="clear" w:color="auto" w:fill="F8F4F1"/>
          </w:tcPr>
          <w:p>
            <w:pPr>
              <w:spacing w:after="0"/>
              <w:rPr>
                <w:sz w:val="16"/>
                <w:szCs w:val="16"/>
                <w:color w:val="auto"/>
              </w:rPr>
            </w:pPr>
          </w:p>
        </w:tc>
        <w:tc>
          <w:tcPr>
            <w:tcW w:w="1000" w:type="dxa"/>
            <w:vAlign w:val="bottom"/>
            <w:gridSpan w:val="2"/>
            <w:vMerge w:val="restart"/>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2,458</w:t>
            </w:r>
          </w:p>
        </w:tc>
        <w:tc>
          <w:tcPr>
            <w:tcW w:w="8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72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580" w:type="dxa"/>
            <w:vAlign w:val="bottom"/>
            <w:shd w:val="clear" w:color="auto" w:fill="F8F4F1"/>
          </w:tcPr>
          <w:p>
            <w:pPr>
              <w:spacing w:after="0"/>
              <w:rPr>
                <w:sz w:val="16"/>
                <w:szCs w:val="16"/>
                <w:color w:val="auto"/>
              </w:rPr>
            </w:pPr>
          </w:p>
        </w:tc>
        <w:tc>
          <w:tcPr>
            <w:tcW w:w="34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7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800" w:type="dxa"/>
            <w:vAlign w:val="bottom"/>
            <w:gridSpan w:val="5"/>
            <w:shd w:val="clear" w:color="auto" w:fill="F8F4F1"/>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 5</w:t>
            </w:r>
            <w:r>
              <w:rPr>
                <w:rFonts w:ascii="Times New Roman" w:cs="Times New Roman" w:eastAsia="Times New Roman" w:hAnsi="Times New Roman"/>
                <w:sz w:val="18"/>
                <w:szCs w:val="18"/>
                <w:color w:val="auto"/>
              </w:rPr>
              <w:t>)</w:t>
            </w:r>
          </w:p>
        </w:tc>
        <w:tc>
          <w:tcPr>
            <w:tcW w:w="800" w:type="dxa"/>
            <w:vAlign w:val="bottom"/>
            <w:vMerge w:val="continue"/>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80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420" w:type="dxa"/>
            <w:vAlign w:val="bottom"/>
            <w:shd w:val="clear" w:color="auto" w:fill="F8F4F1"/>
          </w:tcPr>
          <w:p>
            <w:pPr>
              <w:spacing w:after="0"/>
              <w:rPr>
                <w:sz w:val="16"/>
                <w:szCs w:val="16"/>
                <w:color w:val="auto"/>
              </w:rPr>
            </w:pPr>
          </w:p>
        </w:tc>
        <w:tc>
          <w:tcPr>
            <w:tcW w:w="360" w:type="dxa"/>
            <w:vAlign w:val="bottom"/>
            <w:shd w:val="clear" w:color="auto" w:fill="F8F4F1"/>
          </w:tcPr>
          <w:p>
            <w:pPr>
              <w:jc w:val="right"/>
              <w:spacing w:after="0" w:line="19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F8F4F1"/>
          </w:tcPr>
          <w:p>
            <w:pPr>
              <w:spacing w:after="0"/>
              <w:rPr>
                <w:sz w:val="16"/>
                <w:szCs w:val="16"/>
                <w:color w:val="auto"/>
              </w:rPr>
            </w:pPr>
          </w:p>
        </w:tc>
        <w:tc>
          <w:tcPr>
            <w:tcW w:w="800" w:type="dxa"/>
            <w:vAlign w:val="bottom"/>
            <w:shd w:val="clear" w:color="auto" w:fill="F8F4F1"/>
          </w:tcPr>
          <w:p>
            <w:pPr>
              <w:spacing w:after="0"/>
              <w:rPr>
                <w:sz w:val="16"/>
                <w:szCs w:val="16"/>
                <w:color w:val="auto"/>
              </w:rPr>
            </w:pPr>
          </w:p>
        </w:tc>
        <w:tc>
          <w:tcPr>
            <w:tcW w:w="1000" w:type="dxa"/>
            <w:vAlign w:val="bottom"/>
            <w:gridSpan w:val="2"/>
            <w:vMerge w:val="continue"/>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720" w:type="dxa"/>
            <w:vAlign w:val="bottom"/>
            <w:shd w:val="clear" w:color="auto" w:fill="F8F4F1"/>
          </w:tcPr>
          <w:p>
            <w:pPr>
              <w:spacing w:after="0"/>
              <w:rPr>
                <w:sz w:val="16"/>
                <w:szCs w:val="16"/>
                <w:color w:val="auto"/>
              </w:rPr>
            </w:pPr>
          </w:p>
        </w:tc>
        <w:tc>
          <w:tcPr>
            <w:tcW w:w="80" w:type="dxa"/>
            <w:vAlign w:val="bottom"/>
            <w:shd w:val="clear" w:color="auto" w:fill="F8F4F1"/>
          </w:tcPr>
          <w:p>
            <w:pPr>
              <w:spacing w:after="0"/>
              <w:rPr>
                <w:sz w:val="16"/>
                <w:szCs w:val="16"/>
                <w:color w:val="auto"/>
              </w:rPr>
            </w:pPr>
          </w:p>
        </w:tc>
        <w:tc>
          <w:tcPr>
            <w:tcW w:w="580" w:type="dxa"/>
            <w:vAlign w:val="bottom"/>
            <w:shd w:val="clear" w:color="auto" w:fill="F8F4F1"/>
          </w:tcPr>
          <w:p>
            <w:pPr>
              <w:spacing w:after="0"/>
              <w:rPr>
                <w:sz w:val="16"/>
                <w:szCs w:val="16"/>
                <w:color w:val="auto"/>
              </w:rPr>
            </w:pPr>
          </w:p>
        </w:tc>
        <w:tc>
          <w:tcPr>
            <w:tcW w:w="340" w:type="dxa"/>
            <w:vAlign w:val="bottom"/>
            <w:shd w:val="clear" w:color="auto" w:fill="F8F4F1"/>
          </w:tcPr>
          <w:p>
            <w:pPr>
              <w:jc w:val="right"/>
              <w:spacing w:after="0" w:line="194" w:lineRule="exact"/>
              <w:rPr>
                <w:sz w:val="20"/>
                <w:szCs w:val="20"/>
                <w:color w:val="auto"/>
              </w:rPr>
            </w:pPr>
            <w:r>
              <w:rPr>
                <w:rFonts w:ascii="Times New Roman" w:cs="Times New Roman" w:eastAsia="Times New Roman" w:hAnsi="Times New Roman"/>
                <w:sz w:val="18"/>
                <w:szCs w:val="18"/>
                <w:color w:val="auto"/>
                <w:w w:val="96"/>
              </w:rPr>
              <w:t>269</w:t>
            </w:r>
          </w:p>
        </w:tc>
        <w:tc>
          <w:tcPr>
            <w:tcW w:w="80" w:type="dxa"/>
            <w:vAlign w:val="bottom"/>
            <w:shd w:val="clear" w:color="auto" w:fill="F8F4F1"/>
          </w:tcPr>
          <w:p>
            <w:pPr>
              <w:spacing w:after="0"/>
              <w:rPr>
                <w:sz w:val="16"/>
                <w:szCs w:val="16"/>
                <w:color w:val="auto"/>
              </w:rPr>
            </w:pPr>
          </w:p>
        </w:tc>
        <w:tc>
          <w:tcPr>
            <w:tcW w:w="200" w:type="dxa"/>
            <w:vAlign w:val="bottom"/>
            <w:shd w:val="clear" w:color="auto" w:fill="F8F4F1"/>
          </w:tcPr>
          <w:p>
            <w:pPr>
              <w:spacing w:after="0"/>
              <w:rPr>
                <w:sz w:val="16"/>
                <w:szCs w:val="16"/>
                <w:color w:val="auto"/>
              </w:rPr>
            </w:pPr>
          </w:p>
        </w:tc>
        <w:tc>
          <w:tcPr>
            <w:tcW w:w="7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F8F4F1"/>
            </w:tcBorders>
            <w:shd w:val="clear" w:color="auto" w:fill="F8F4F1"/>
          </w:tcPr>
          <w:p>
            <w:pPr>
              <w:spacing w:after="0" w:line="20" w:lineRule="exact"/>
              <w:rPr>
                <w:sz w:val="1"/>
                <w:szCs w:val="1"/>
                <w:color w:val="auto"/>
              </w:rPr>
            </w:pPr>
          </w:p>
        </w:tc>
        <w:tc>
          <w:tcPr>
            <w:tcW w:w="320" w:type="dxa"/>
            <w:vAlign w:val="bottom"/>
            <w:tcBorders>
              <w:top w:val="single" w:sz="8" w:color="0000FF"/>
            </w:tcBorders>
            <w:shd w:val="clear" w:color="auto" w:fill="F8F4F1"/>
          </w:tcPr>
          <w:p>
            <w:pPr>
              <w:spacing w:after="0" w:line="20" w:lineRule="exact"/>
              <w:rPr>
                <w:sz w:val="1"/>
                <w:szCs w:val="1"/>
                <w:color w:val="auto"/>
              </w:rPr>
            </w:pPr>
          </w:p>
        </w:tc>
        <w:tc>
          <w:tcPr>
            <w:tcW w:w="160" w:type="dxa"/>
            <w:vAlign w:val="bottom"/>
            <w:tcBorders>
              <w:top w:val="single" w:sz="8" w:color="0000FF"/>
            </w:tcBorders>
            <w:shd w:val="clear" w:color="auto" w:fill="F8F4F1"/>
          </w:tcPr>
          <w:p>
            <w:pPr>
              <w:spacing w:after="0" w:line="20" w:lineRule="exact"/>
              <w:rPr>
                <w:sz w:val="1"/>
                <w:szCs w:val="1"/>
                <w:color w:val="auto"/>
              </w:rPr>
            </w:pPr>
          </w:p>
        </w:tc>
        <w:tc>
          <w:tcPr>
            <w:tcW w:w="320" w:type="dxa"/>
            <w:vAlign w:val="bottom"/>
            <w:tcBorders>
              <w:top w:val="single" w:sz="8" w:color="F8F4F1"/>
            </w:tcBorders>
            <w:shd w:val="clear" w:color="auto" w:fill="F8F4F1"/>
          </w:tcPr>
          <w:p>
            <w:pPr>
              <w:spacing w:after="0" w:line="20" w:lineRule="exact"/>
              <w:rPr>
                <w:sz w:val="1"/>
                <w:szCs w:val="1"/>
                <w:color w:val="auto"/>
              </w:rPr>
            </w:pPr>
          </w:p>
        </w:tc>
        <w:tc>
          <w:tcPr>
            <w:tcW w:w="2600" w:type="dxa"/>
            <w:vAlign w:val="bottom"/>
            <w:tcBorders>
              <w:top w:val="single" w:sz="8" w:color="F8F4F1"/>
            </w:tcBorders>
            <w:shd w:val="clear" w:color="auto" w:fill="F8F4F1"/>
          </w:tcPr>
          <w:p>
            <w:pPr>
              <w:spacing w:after="0" w:line="20" w:lineRule="exact"/>
              <w:rPr>
                <w:sz w:val="1"/>
                <w:szCs w:val="1"/>
                <w:color w:val="auto"/>
              </w:rPr>
            </w:pPr>
          </w:p>
        </w:tc>
        <w:tc>
          <w:tcPr>
            <w:tcW w:w="80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80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420" w:type="dxa"/>
            <w:vAlign w:val="bottom"/>
            <w:tcBorders>
              <w:top w:val="single" w:sz="8" w:color="F8F4F1"/>
            </w:tcBorders>
            <w:shd w:val="clear" w:color="auto" w:fill="F8F4F1"/>
          </w:tcPr>
          <w:p>
            <w:pPr>
              <w:spacing w:after="0" w:line="20" w:lineRule="exact"/>
              <w:rPr>
                <w:sz w:val="1"/>
                <w:szCs w:val="1"/>
                <w:color w:val="auto"/>
              </w:rPr>
            </w:pPr>
          </w:p>
        </w:tc>
        <w:tc>
          <w:tcPr>
            <w:tcW w:w="36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80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92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200" w:type="dxa"/>
            <w:vAlign w:val="bottom"/>
            <w:tcBorders>
              <w:top w:val="single" w:sz="8" w:color="F8F4F1"/>
            </w:tcBorders>
            <w:shd w:val="clear" w:color="auto" w:fill="F8F4F1"/>
          </w:tcPr>
          <w:p>
            <w:pPr>
              <w:spacing w:after="0" w:line="20" w:lineRule="exact"/>
              <w:rPr>
                <w:sz w:val="1"/>
                <w:szCs w:val="1"/>
                <w:color w:val="auto"/>
              </w:rPr>
            </w:pPr>
          </w:p>
        </w:tc>
        <w:tc>
          <w:tcPr>
            <w:tcW w:w="72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580" w:type="dxa"/>
            <w:vAlign w:val="bottom"/>
            <w:tcBorders>
              <w:top w:val="single" w:sz="8" w:color="F8F4F1"/>
            </w:tcBorders>
            <w:shd w:val="clear" w:color="auto" w:fill="F8F4F1"/>
          </w:tcPr>
          <w:p>
            <w:pPr>
              <w:spacing w:after="0" w:line="20" w:lineRule="exact"/>
              <w:rPr>
                <w:sz w:val="1"/>
                <w:szCs w:val="1"/>
                <w:color w:val="auto"/>
              </w:rPr>
            </w:pPr>
          </w:p>
        </w:tc>
        <w:tc>
          <w:tcPr>
            <w:tcW w:w="340" w:type="dxa"/>
            <w:vAlign w:val="bottom"/>
            <w:tcBorders>
              <w:top w:val="single" w:sz="8" w:color="F8F4F1"/>
            </w:tcBorders>
            <w:shd w:val="clear" w:color="auto" w:fill="F8F4F1"/>
          </w:tcPr>
          <w:p>
            <w:pPr>
              <w:spacing w:after="0" w:line="20" w:lineRule="exact"/>
              <w:rPr>
                <w:sz w:val="1"/>
                <w:szCs w:val="1"/>
                <w:color w:val="auto"/>
              </w:rPr>
            </w:pPr>
          </w:p>
        </w:tc>
        <w:tc>
          <w:tcPr>
            <w:tcW w:w="80" w:type="dxa"/>
            <w:vAlign w:val="bottom"/>
            <w:tcBorders>
              <w:top w:val="single" w:sz="8" w:color="F8F4F1"/>
            </w:tcBorders>
            <w:shd w:val="clear" w:color="auto" w:fill="F8F4F1"/>
          </w:tcPr>
          <w:p>
            <w:pPr>
              <w:spacing w:after="0" w:line="20" w:lineRule="exact"/>
              <w:rPr>
                <w:sz w:val="1"/>
                <w:szCs w:val="1"/>
                <w:color w:val="auto"/>
              </w:rPr>
            </w:pPr>
          </w:p>
        </w:tc>
        <w:tc>
          <w:tcPr>
            <w:tcW w:w="200" w:type="dxa"/>
            <w:vAlign w:val="bottom"/>
            <w:tcBorders>
              <w:top w:val="single" w:sz="8" w:color="F8F4F1"/>
            </w:tcBorders>
            <w:shd w:val="clear" w:color="auto" w:fill="F8F4F1"/>
          </w:tcPr>
          <w:p>
            <w:pPr>
              <w:spacing w:after="0" w:line="20" w:lineRule="exact"/>
              <w:rPr>
                <w:sz w:val="1"/>
                <w:szCs w:val="1"/>
                <w:color w:val="auto"/>
              </w:rPr>
            </w:pPr>
          </w:p>
        </w:tc>
        <w:tc>
          <w:tcPr>
            <w:tcW w:w="740" w:type="dxa"/>
            <w:vAlign w:val="bottom"/>
            <w:tcBorders>
              <w:top w:val="single" w:sz="8" w:color="F8F4F1"/>
            </w:tcBorders>
            <w:shd w:val="clear" w:color="auto" w:fill="F8F4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Add: Reclassification of net loss included in net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gridSpan w:val="5"/>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loss (See </w:t>
            </w:r>
            <w:r>
              <w:rPr>
                <w:rFonts w:ascii="Times New Roman" w:cs="Times New Roman" w:eastAsia="Times New Roman" w:hAnsi="Times New Roman"/>
                <w:sz w:val="18"/>
                <w:szCs w:val="18"/>
                <w:color w:val="0000FF"/>
              </w:rPr>
              <w:t>Note 5</w:t>
            </w:r>
            <w:r>
              <w:rPr>
                <w:rFonts w:ascii="Times New Roman" w:cs="Times New Roman" w:eastAsia="Times New Roman" w:hAnsi="Times New Roman"/>
                <w:sz w:val="18"/>
                <w:szCs w:val="18"/>
                <w:color w:val="auto"/>
              </w:rPr>
              <w:t>)</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6"/>
              </w:rPr>
              <w:t>266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6"/>
              </w:rPr>
              <w:t>337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0" w:type="dxa"/>
            <w:vAlign w:val="bottom"/>
            <w:tcBorders>
              <w:bottom w:val="single" w:sz="8" w:color="F8F4F1"/>
            </w:tcBorders>
          </w:tcPr>
          <w:p>
            <w:pPr>
              <w:spacing w:after="0"/>
              <w:rPr>
                <w:sz w:val="2"/>
                <w:szCs w:val="2"/>
                <w:color w:val="auto"/>
              </w:rPr>
            </w:pPr>
          </w:p>
        </w:tc>
        <w:tc>
          <w:tcPr>
            <w:tcW w:w="320" w:type="dxa"/>
            <w:vAlign w:val="bottom"/>
            <w:tcBorders>
              <w:bottom w:val="single" w:sz="8" w:color="F8F4F1"/>
            </w:tcBorders>
          </w:tcPr>
          <w:p>
            <w:pPr>
              <w:spacing w:after="0"/>
              <w:rPr>
                <w:sz w:val="2"/>
                <w:szCs w:val="2"/>
                <w:color w:val="auto"/>
              </w:rPr>
            </w:pPr>
          </w:p>
        </w:tc>
        <w:tc>
          <w:tcPr>
            <w:tcW w:w="160" w:type="dxa"/>
            <w:vAlign w:val="bottom"/>
            <w:tcBorders>
              <w:top w:val="single" w:sz="8" w:color="0000FF"/>
              <w:bottom w:val="single" w:sz="8" w:color="F8F4F1"/>
            </w:tcBorders>
          </w:tcPr>
          <w:p>
            <w:pPr>
              <w:spacing w:after="0"/>
              <w:rPr>
                <w:sz w:val="2"/>
                <w:szCs w:val="2"/>
                <w:color w:val="auto"/>
              </w:rPr>
            </w:pPr>
          </w:p>
        </w:tc>
        <w:tc>
          <w:tcPr>
            <w:tcW w:w="320" w:type="dxa"/>
            <w:vAlign w:val="bottom"/>
            <w:tcBorders>
              <w:top w:val="single" w:sz="8" w:color="0000FF"/>
              <w:bottom w:val="single" w:sz="8" w:color="F8F4F1"/>
            </w:tcBorders>
          </w:tcPr>
          <w:p>
            <w:pPr>
              <w:spacing w:after="0"/>
              <w:rPr>
                <w:sz w:val="2"/>
                <w:szCs w:val="2"/>
                <w:color w:val="auto"/>
              </w:rPr>
            </w:pPr>
          </w:p>
        </w:tc>
        <w:tc>
          <w:tcPr>
            <w:tcW w:w="2600" w:type="dxa"/>
            <w:vAlign w:val="bottom"/>
            <w:tcBorders>
              <w:bottom w:val="single" w:sz="8" w:color="F8F4F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gridSpan w:val="5"/>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80" w:type="dxa"/>
            <w:vAlign w:val="bottom"/>
            <w:gridSpan w:val="2"/>
            <w:shd w:val="clear" w:color="auto" w:fill="F8F4F1"/>
          </w:tcPr>
          <w:p>
            <w:pPr>
              <w:spacing w:after="0"/>
              <w:rPr>
                <w:sz w:val="20"/>
                <w:szCs w:val="20"/>
                <w:color w:val="auto"/>
              </w:rPr>
            </w:pPr>
          </w:p>
        </w:tc>
        <w:tc>
          <w:tcPr>
            <w:tcW w:w="800" w:type="dxa"/>
            <w:vAlign w:val="bottom"/>
            <w:tcBorders>
              <w:bottom w:val="single" w:sz="8" w:color="auto"/>
            </w:tcBorders>
            <w:shd w:val="clear" w:color="auto" w:fill="F8F4F1"/>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2,516</w:t>
            </w:r>
          </w:p>
        </w:tc>
        <w:tc>
          <w:tcPr>
            <w:tcW w:w="80" w:type="dxa"/>
            <w:vAlign w:val="bottom"/>
            <w:shd w:val="clear" w:color="auto" w:fill="F8F4F1"/>
          </w:tcPr>
          <w:p>
            <w:pPr>
              <w:spacing w:after="0"/>
              <w:rPr>
                <w:sz w:val="20"/>
                <w:szCs w:val="20"/>
                <w:color w:val="auto"/>
              </w:rPr>
            </w:pPr>
          </w:p>
        </w:tc>
        <w:tc>
          <w:tcPr>
            <w:tcW w:w="420" w:type="dxa"/>
            <w:vAlign w:val="bottom"/>
            <w:shd w:val="clear" w:color="auto" w:fill="F8F4F1"/>
          </w:tcPr>
          <w:p>
            <w:pPr>
              <w:spacing w:after="0"/>
              <w:rPr>
                <w:sz w:val="20"/>
                <w:szCs w:val="20"/>
                <w:color w:val="auto"/>
              </w:rPr>
            </w:pPr>
          </w:p>
        </w:tc>
        <w:tc>
          <w:tcPr>
            <w:tcW w:w="440" w:type="dxa"/>
            <w:vAlign w:val="bottom"/>
            <w:gridSpan w:val="2"/>
            <w:shd w:val="clear" w:color="auto" w:fill="F8F4F1"/>
          </w:tcPr>
          <w:p>
            <w:pPr>
              <w:spacing w:after="0"/>
              <w:rPr>
                <w:sz w:val="20"/>
                <w:szCs w:val="20"/>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F8F4F1"/>
          </w:tcPr>
          <w:p>
            <w:pPr>
              <w:spacing w:after="0"/>
              <w:rPr>
                <w:sz w:val="20"/>
                <w:szCs w:val="20"/>
                <w:color w:val="auto"/>
              </w:rPr>
            </w:pPr>
          </w:p>
        </w:tc>
        <w:tc>
          <w:tcPr>
            <w:tcW w:w="920" w:type="dxa"/>
            <w:vAlign w:val="bottom"/>
            <w:shd w:val="clear" w:color="auto" w:fill="F8F4F1"/>
          </w:tcPr>
          <w:p>
            <w:pPr>
              <w:spacing w:after="0"/>
              <w:rPr>
                <w:sz w:val="20"/>
                <w:szCs w:val="20"/>
                <w:color w:val="auto"/>
              </w:rPr>
            </w:pPr>
          </w:p>
        </w:tc>
        <w:tc>
          <w:tcPr>
            <w:tcW w:w="80" w:type="dxa"/>
            <w:vAlign w:val="bottom"/>
            <w:shd w:val="clear" w:color="auto" w:fill="F8F4F1"/>
          </w:tcPr>
          <w:p>
            <w:pPr>
              <w:spacing w:after="0"/>
              <w:rPr>
                <w:sz w:val="20"/>
                <w:szCs w:val="20"/>
                <w:color w:val="auto"/>
              </w:rPr>
            </w:pPr>
          </w:p>
        </w:tc>
        <w:tc>
          <w:tcPr>
            <w:tcW w:w="200" w:type="dxa"/>
            <w:vAlign w:val="bottom"/>
            <w:tcBorders>
              <w:bottom w:val="single" w:sz="8" w:color="auto"/>
            </w:tcBorders>
            <w:shd w:val="clear" w:color="auto" w:fill="F8F4F1"/>
          </w:tcPr>
          <w:p>
            <w:pPr>
              <w:spacing w:after="0"/>
              <w:rPr>
                <w:sz w:val="20"/>
                <w:szCs w:val="20"/>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c>
          <w:tcPr>
            <w:tcW w:w="80" w:type="dxa"/>
            <w:vAlign w:val="bottom"/>
            <w:shd w:val="clear" w:color="auto" w:fill="F8F4F1"/>
          </w:tcPr>
          <w:p>
            <w:pPr>
              <w:spacing w:after="0"/>
              <w:rPr>
                <w:sz w:val="20"/>
                <w:szCs w:val="20"/>
                <w:color w:val="auto"/>
              </w:rPr>
            </w:pPr>
          </w:p>
        </w:tc>
        <w:tc>
          <w:tcPr>
            <w:tcW w:w="580" w:type="dxa"/>
            <w:vAlign w:val="bottom"/>
            <w:shd w:val="clear" w:color="auto" w:fill="F8F4F1"/>
          </w:tcPr>
          <w:p>
            <w:pPr>
              <w:spacing w:after="0"/>
              <w:rPr>
                <w:sz w:val="20"/>
                <w:szCs w:val="20"/>
                <w:color w:val="auto"/>
              </w:rPr>
            </w:pPr>
          </w:p>
        </w:tc>
        <w:tc>
          <w:tcPr>
            <w:tcW w:w="340" w:type="dxa"/>
            <w:vAlign w:val="bottom"/>
            <w:shd w:val="clear" w:color="auto" w:fill="F8F4F1"/>
          </w:tcPr>
          <w:p>
            <w:pPr>
              <w:spacing w:after="0"/>
              <w:rPr>
                <w:sz w:val="20"/>
                <w:szCs w:val="20"/>
                <w:color w:val="auto"/>
              </w:rPr>
            </w:pPr>
          </w:p>
        </w:tc>
        <w:tc>
          <w:tcPr>
            <w:tcW w:w="80" w:type="dxa"/>
            <w:vAlign w:val="bottom"/>
            <w:shd w:val="clear" w:color="auto" w:fill="F8F4F1"/>
          </w:tcPr>
          <w:p>
            <w:pPr>
              <w:spacing w:after="0"/>
              <w:rPr>
                <w:sz w:val="20"/>
                <w:szCs w:val="20"/>
                <w:color w:val="auto"/>
              </w:rPr>
            </w:pPr>
          </w:p>
        </w:tc>
        <w:tc>
          <w:tcPr>
            <w:tcW w:w="200" w:type="dxa"/>
            <w:vAlign w:val="bottom"/>
            <w:tcBorders>
              <w:bottom w:val="single" w:sz="8" w:color="auto"/>
            </w:tcBorders>
            <w:shd w:val="clear" w:color="auto" w:fill="F8F4F1"/>
          </w:tcPr>
          <w:p>
            <w:pPr>
              <w:spacing w:after="0"/>
              <w:rPr>
                <w:sz w:val="20"/>
                <w:szCs w:val="20"/>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37"/>
        </w:trPr>
        <w:tc>
          <w:tcPr>
            <w:tcW w:w="38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applicable to Piedmont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(18,506)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(13,106)</w:t>
            </w: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(40,928)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7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80" w:type="dxa"/>
            <w:vAlign w:val="bottom"/>
            <w:gridSpan w:val="2"/>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Distributions</w:t>
            </w:r>
          </w:p>
        </w:tc>
        <w:tc>
          <w:tcPr>
            <w:tcW w:w="240" w:type="dxa"/>
            <w:vAlign w:val="bottom"/>
          </w:tcPr>
          <w:p>
            <w:pPr>
              <w:spacing w:after="0"/>
              <w:rPr>
                <w:sz w:val="4"/>
                <w:szCs w:val="4"/>
                <w:color w:val="auto"/>
              </w:rPr>
            </w:pPr>
          </w:p>
        </w:tc>
        <w:tc>
          <w:tcPr>
            <w:tcW w:w="960" w:type="dxa"/>
            <w:vAlign w:val="bottom"/>
            <w:gridSpan w:val="2"/>
            <w:vMerge w:val="restart"/>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4"/>
                <w:szCs w:val="4"/>
                <w:color w:val="auto"/>
              </w:rPr>
            </w:pPr>
          </w:p>
        </w:tc>
        <w:tc>
          <w:tcPr>
            <w:tcW w:w="88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4"/>
                <w:szCs w:val="4"/>
                <w:color w:val="auto"/>
              </w:rPr>
            </w:pPr>
          </w:p>
        </w:tc>
        <w:tc>
          <w:tcPr>
            <w:tcW w:w="860" w:type="dxa"/>
            <w:vAlign w:val="bottom"/>
            <w:vMerge w:val="restart"/>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8"/>
        </w:trPr>
        <w:tc>
          <w:tcPr>
            <w:tcW w:w="4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in Excess of</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6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8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2026</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125,133</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$3,730,985</w:t>
            </w: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(2,251,371)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(7,368)</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1,474,994</w:t>
            </w: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Shares issued under ATM program</w:t>
            </w: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4,116</w:t>
            </w:r>
          </w:p>
        </w:tc>
        <w:tc>
          <w:tcPr>
            <w:tcW w:w="8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5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shd w:val="clear" w:color="auto" w:fill="F8F4F1"/>
          </w:tcPr>
          <w:p>
            <w:pPr>
              <w:spacing w:after="0"/>
              <w:rPr>
                <w:sz w:val="21"/>
                <w:szCs w:val="21"/>
                <w:color w:val="auto"/>
              </w:rPr>
            </w:pPr>
          </w:p>
        </w:tc>
        <w:tc>
          <w:tcPr>
            <w:tcW w:w="9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39,966</w:t>
            </w:r>
          </w:p>
        </w:tc>
        <w:tc>
          <w:tcPr>
            <w:tcW w:w="80" w:type="dxa"/>
            <w:vAlign w:val="bottom"/>
            <w:shd w:val="clear" w:color="auto" w:fill="F8F4F1"/>
          </w:tcPr>
          <w:p>
            <w:pPr>
              <w:spacing w:after="0"/>
              <w:rPr>
                <w:sz w:val="21"/>
                <w:szCs w:val="21"/>
                <w:color w:val="auto"/>
              </w:rPr>
            </w:pPr>
          </w:p>
        </w:tc>
        <w:tc>
          <w:tcPr>
            <w:tcW w:w="1080" w:type="dxa"/>
            <w:vAlign w:val="bottom"/>
            <w:gridSpan w:val="2"/>
            <w:shd w:val="clear" w:color="auto" w:fill="F8F4F1"/>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21"/>
                <w:szCs w:val="21"/>
                <w:color w:val="auto"/>
              </w:rPr>
            </w:pPr>
          </w:p>
        </w:tc>
        <w:tc>
          <w:tcPr>
            <w:tcW w:w="88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40,007</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repurchases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(49,946)</w:t>
            </w:r>
          </w:p>
        </w:tc>
        <w:tc>
          <w:tcPr>
            <w:tcW w:w="8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Costs of issuance of common stock</w:t>
            </w: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64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80" w:type="dxa"/>
            <w:vAlign w:val="bottom"/>
            <w:shd w:val="clear" w:color="auto" w:fill="F8F4F1"/>
          </w:tcPr>
          <w:p>
            <w:pPr>
              <w:spacing w:after="0"/>
              <w:rPr>
                <w:sz w:val="21"/>
                <w:szCs w:val="21"/>
                <w:color w:val="auto"/>
              </w:rPr>
            </w:pPr>
          </w:p>
        </w:tc>
        <w:tc>
          <w:tcPr>
            <w:tcW w:w="1080" w:type="dxa"/>
            <w:vAlign w:val="bottom"/>
            <w:gridSpan w:val="2"/>
            <w:shd w:val="clear" w:color="auto" w:fill="F8F4F1"/>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21"/>
                <w:szCs w:val="21"/>
                <w:color w:val="auto"/>
              </w:rPr>
            </w:pPr>
          </w:p>
        </w:tc>
        <w:tc>
          <w:tcPr>
            <w:tcW w:w="88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to stockholders of subsidiaries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176"/>
        </w:trPr>
        <w:tc>
          <w:tcPr>
            <w:tcW w:w="4140" w:type="dxa"/>
            <w:vAlign w:val="bottom"/>
            <w:shd w:val="clear" w:color="auto" w:fill="F8F4F1"/>
          </w:tcPr>
          <w:p>
            <w:pPr>
              <w:ind w:left="180"/>
              <w:spacing w:after="0" w:line="175" w:lineRule="exact"/>
              <w:rPr>
                <w:sz w:val="20"/>
                <w:szCs w:val="20"/>
                <w:color w:val="auto"/>
              </w:rPr>
            </w:pPr>
            <w:r>
              <w:rPr>
                <w:rFonts w:ascii="Times New Roman" w:cs="Times New Roman" w:eastAsia="Times New Roman" w:hAnsi="Times New Roman"/>
                <w:sz w:val="16"/>
                <w:szCs w:val="16"/>
                <w:color w:val="auto"/>
              </w:rPr>
              <w:t>Shares issued and amortized pursuant to equity incentive</w:t>
            </w:r>
          </w:p>
        </w:tc>
        <w:tc>
          <w:tcPr>
            <w:tcW w:w="880" w:type="dxa"/>
            <w:vAlign w:val="bottom"/>
            <w:gridSpan w:val="2"/>
            <w:vMerge w:val="restart"/>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15"/>
                <w:szCs w:val="15"/>
                <w:color w:val="auto"/>
              </w:rPr>
            </w:pPr>
          </w:p>
        </w:tc>
        <w:tc>
          <w:tcPr>
            <w:tcW w:w="640" w:type="dxa"/>
            <w:vAlign w:val="bottom"/>
            <w:gridSpan w:val="2"/>
            <w:vMerge w:val="restart"/>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80" w:type="dxa"/>
            <w:vAlign w:val="bottom"/>
            <w:shd w:val="clear" w:color="auto" w:fill="F8F4F1"/>
          </w:tcPr>
          <w:p>
            <w:pPr>
              <w:spacing w:after="0"/>
              <w:rPr>
                <w:sz w:val="15"/>
                <w:szCs w:val="15"/>
                <w:color w:val="auto"/>
              </w:rPr>
            </w:pPr>
          </w:p>
        </w:tc>
        <w:tc>
          <w:tcPr>
            <w:tcW w:w="1080" w:type="dxa"/>
            <w:vAlign w:val="bottom"/>
            <w:gridSpan w:val="2"/>
            <w:vMerge w:val="restart"/>
            <w:shd w:val="clear" w:color="auto" w:fill="F8F4F1"/>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15"/>
                <w:szCs w:val="15"/>
                <w:color w:val="auto"/>
              </w:rPr>
            </w:pPr>
          </w:p>
        </w:tc>
        <w:tc>
          <w:tcPr>
            <w:tcW w:w="960" w:type="dxa"/>
            <w:vAlign w:val="bottom"/>
            <w:gridSpan w:val="2"/>
            <w:vMerge w:val="restart"/>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15"/>
                <w:szCs w:val="15"/>
                <w:color w:val="auto"/>
              </w:rPr>
            </w:pPr>
          </w:p>
        </w:tc>
        <w:tc>
          <w:tcPr>
            <w:tcW w:w="880" w:type="dxa"/>
            <w:vAlign w:val="bottom"/>
            <w:gridSpan w:val="2"/>
            <w:vMerge w:val="restart"/>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15"/>
                <w:szCs w:val="15"/>
                <w:color w:val="auto"/>
              </w:rPr>
            </w:pPr>
          </w:p>
        </w:tc>
        <w:tc>
          <w:tcPr>
            <w:tcW w:w="8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0" w:type="dxa"/>
            <w:vAlign w:val="bottom"/>
          </w:tcPr>
          <w:p>
            <w:pPr>
              <w:spacing w:after="0"/>
              <w:rPr>
                <w:sz w:val="1"/>
                <w:szCs w:val="1"/>
                <w:color w:val="auto"/>
              </w:rPr>
            </w:pPr>
          </w:p>
        </w:tc>
      </w:tr>
      <w:tr>
        <w:trPr>
          <w:trHeight w:val="216"/>
        </w:trPr>
        <w:tc>
          <w:tcPr>
            <w:tcW w:w="4140" w:type="dxa"/>
            <w:vAlign w:val="bottom"/>
            <w:shd w:val="clear" w:color="auto" w:fill="F8F4F1"/>
          </w:tcPr>
          <w:p>
            <w:pPr>
              <w:ind w:left="360"/>
              <w:spacing w:after="0"/>
              <w:rPr>
                <w:sz w:val="20"/>
                <w:szCs w:val="20"/>
                <w:color w:val="auto"/>
              </w:rPr>
            </w:pPr>
            <w:r>
              <w:rPr>
                <w:rFonts w:ascii="Times New Roman" w:cs="Times New Roman" w:eastAsia="Times New Roman" w:hAnsi="Times New Roman"/>
                <w:sz w:val="16"/>
                <w:szCs w:val="16"/>
                <w:color w:val="auto"/>
              </w:rPr>
              <w:t>plan, net of tax</w:t>
            </w:r>
          </w:p>
        </w:tc>
        <w:tc>
          <w:tcPr>
            <w:tcW w:w="880" w:type="dxa"/>
            <w:vAlign w:val="bottom"/>
            <w:gridSpan w:val="2"/>
            <w:vMerge w:val="continue"/>
            <w:shd w:val="clear" w:color="auto" w:fill="F8F4F1"/>
          </w:tcPr>
          <w:p>
            <w:pPr>
              <w:spacing w:after="0"/>
              <w:rPr>
                <w:sz w:val="18"/>
                <w:szCs w:val="18"/>
                <w:color w:val="auto"/>
              </w:rPr>
            </w:pPr>
          </w:p>
        </w:tc>
        <w:tc>
          <w:tcPr>
            <w:tcW w:w="200" w:type="dxa"/>
            <w:vAlign w:val="bottom"/>
            <w:shd w:val="clear" w:color="auto" w:fill="F8F4F1"/>
          </w:tcPr>
          <w:p>
            <w:pPr>
              <w:spacing w:after="0"/>
              <w:rPr>
                <w:sz w:val="18"/>
                <w:szCs w:val="18"/>
                <w:color w:val="auto"/>
              </w:rPr>
            </w:pPr>
          </w:p>
        </w:tc>
        <w:tc>
          <w:tcPr>
            <w:tcW w:w="640" w:type="dxa"/>
            <w:vAlign w:val="bottom"/>
            <w:gridSpan w:val="2"/>
            <w:vMerge w:val="continue"/>
            <w:shd w:val="clear" w:color="auto" w:fill="F8F4F1"/>
          </w:tcPr>
          <w:p>
            <w:pPr>
              <w:spacing w:after="0"/>
              <w:rPr>
                <w:sz w:val="18"/>
                <w:szCs w:val="18"/>
                <w:color w:val="auto"/>
              </w:rPr>
            </w:pPr>
          </w:p>
        </w:tc>
        <w:tc>
          <w:tcPr>
            <w:tcW w:w="920" w:type="dxa"/>
            <w:vAlign w:val="bottom"/>
            <w:vMerge w:val="continue"/>
            <w:shd w:val="clear" w:color="auto" w:fill="F8F4F1"/>
          </w:tcPr>
          <w:p>
            <w:pPr>
              <w:spacing w:after="0"/>
              <w:rPr>
                <w:sz w:val="18"/>
                <w:szCs w:val="18"/>
                <w:color w:val="auto"/>
              </w:rPr>
            </w:pPr>
          </w:p>
        </w:tc>
        <w:tc>
          <w:tcPr>
            <w:tcW w:w="80" w:type="dxa"/>
            <w:vAlign w:val="bottom"/>
            <w:shd w:val="clear" w:color="auto" w:fill="F8F4F1"/>
          </w:tcPr>
          <w:p>
            <w:pPr>
              <w:spacing w:after="0"/>
              <w:rPr>
                <w:sz w:val="18"/>
                <w:szCs w:val="18"/>
                <w:color w:val="auto"/>
              </w:rPr>
            </w:pPr>
          </w:p>
        </w:tc>
        <w:tc>
          <w:tcPr>
            <w:tcW w:w="1080" w:type="dxa"/>
            <w:vAlign w:val="bottom"/>
            <w:gridSpan w:val="2"/>
            <w:vMerge w:val="continue"/>
            <w:shd w:val="clear" w:color="auto" w:fill="F8F4F1"/>
          </w:tcPr>
          <w:p>
            <w:pPr>
              <w:spacing w:after="0"/>
              <w:rPr>
                <w:sz w:val="18"/>
                <w:szCs w:val="18"/>
                <w:color w:val="auto"/>
              </w:rPr>
            </w:pPr>
          </w:p>
        </w:tc>
        <w:tc>
          <w:tcPr>
            <w:tcW w:w="240" w:type="dxa"/>
            <w:vAlign w:val="bottom"/>
            <w:shd w:val="clear" w:color="auto" w:fill="F8F4F1"/>
          </w:tcPr>
          <w:p>
            <w:pPr>
              <w:spacing w:after="0"/>
              <w:rPr>
                <w:sz w:val="18"/>
                <w:szCs w:val="18"/>
                <w:color w:val="auto"/>
              </w:rPr>
            </w:pPr>
          </w:p>
        </w:tc>
        <w:tc>
          <w:tcPr>
            <w:tcW w:w="960" w:type="dxa"/>
            <w:vAlign w:val="bottom"/>
            <w:gridSpan w:val="2"/>
            <w:vMerge w:val="continue"/>
            <w:shd w:val="clear" w:color="auto" w:fill="F8F4F1"/>
          </w:tcPr>
          <w:p>
            <w:pPr>
              <w:spacing w:after="0"/>
              <w:rPr>
                <w:sz w:val="18"/>
                <w:szCs w:val="18"/>
                <w:color w:val="auto"/>
              </w:rPr>
            </w:pPr>
          </w:p>
        </w:tc>
        <w:tc>
          <w:tcPr>
            <w:tcW w:w="160" w:type="dxa"/>
            <w:vAlign w:val="bottom"/>
            <w:shd w:val="clear" w:color="auto" w:fill="F8F4F1"/>
          </w:tcPr>
          <w:p>
            <w:pPr>
              <w:spacing w:after="0"/>
              <w:rPr>
                <w:sz w:val="18"/>
                <w:szCs w:val="18"/>
                <w:color w:val="auto"/>
              </w:rPr>
            </w:pPr>
          </w:p>
        </w:tc>
        <w:tc>
          <w:tcPr>
            <w:tcW w:w="880" w:type="dxa"/>
            <w:vAlign w:val="bottom"/>
            <w:gridSpan w:val="2"/>
            <w:vMerge w:val="continue"/>
            <w:shd w:val="clear" w:color="auto" w:fill="F8F4F1"/>
          </w:tcPr>
          <w:p>
            <w:pPr>
              <w:spacing w:after="0"/>
              <w:rPr>
                <w:sz w:val="18"/>
                <w:szCs w:val="18"/>
                <w:color w:val="auto"/>
              </w:rPr>
            </w:pPr>
          </w:p>
        </w:tc>
        <w:tc>
          <w:tcPr>
            <w:tcW w:w="200" w:type="dxa"/>
            <w:vAlign w:val="bottom"/>
            <w:shd w:val="clear" w:color="auto" w:fill="F8F4F1"/>
          </w:tcPr>
          <w:p>
            <w:pPr>
              <w:spacing w:after="0"/>
              <w:rPr>
                <w:sz w:val="18"/>
                <w:szCs w:val="18"/>
                <w:color w:val="auto"/>
              </w:rPr>
            </w:pPr>
          </w:p>
        </w:tc>
        <w:tc>
          <w:tcPr>
            <w:tcW w:w="860" w:type="dxa"/>
            <w:vAlign w:val="bottom"/>
            <w:vMerge w:val="continue"/>
            <w:shd w:val="clear" w:color="auto" w:fill="F8F4F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applicable to noncontrolling interest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Net loss applicable to Piedmont</w:t>
            </w: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64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(21,022)</w:t>
            </w:r>
          </w:p>
        </w:tc>
        <w:tc>
          <w:tcPr>
            <w:tcW w:w="80" w:type="dxa"/>
            <w:vAlign w:val="bottom"/>
            <w:shd w:val="clear" w:color="auto" w:fill="F8F4F1"/>
          </w:tcPr>
          <w:p>
            <w:pPr>
              <w:spacing w:after="0"/>
              <w:rPr>
                <w:sz w:val="21"/>
                <w:szCs w:val="21"/>
                <w:color w:val="auto"/>
              </w:rPr>
            </w:pP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21"/>
                <w:szCs w:val="21"/>
                <w:color w:val="auto"/>
              </w:rPr>
            </w:pPr>
          </w:p>
        </w:tc>
        <w:tc>
          <w:tcPr>
            <w:tcW w:w="88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(21,022)</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0" w:type="dxa"/>
            <w:vAlign w:val="bottom"/>
          </w:tcPr>
          <w:p>
            <w:pPr>
              <w:spacing w:after="0"/>
              <w:rPr>
                <w:sz w:val="1"/>
                <w:szCs w:val="1"/>
                <w:color w:val="auto"/>
              </w:rPr>
            </w:pPr>
          </w:p>
        </w:tc>
      </w:tr>
      <w:tr>
        <w:trPr>
          <w:trHeight w:val="262"/>
        </w:trPr>
        <w:tc>
          <w:tcPr>
            <w:tcW w:w="4140" w:type="dxa"/>
            <w:vAlign w:val="bottom"/>
            <w:tcBorders>
              <w:top w:val="single" w:sz="8" w:color="F8F4F1"/>
              <w:bottom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2026</w:t>
            </w:r>
          </w:p>
        </w:tc>
        <w:tc>
          <w:tcPr>
            <w:tcW w:w="80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123,814</w:t>
            </w:r>
          </w:p>
        </w:tc>
        <w:tc>
          <w:tcPr>
            <w:tcW w:w="80" w:type="dxa"/>
            <w:vAlign w:val="bottom"/>
            <w:tcBorders>
              <w:top w:val="single" w:sz="8" w:color="F8F4F1"/>
              <w:bottom w:val="single" w:sz="8" w:color="F8F4F1"/>
            </w:tcBorders>
            <w:shd w:val="clear" w:color="auto" w:fill="F8F4F1"/>
          </w:tcPr>
          <w:p>
            <w:pPr>
              <w:spacing w:after="0"/>
              <w:rPr>
                <w:sz w:val="22"/>
                <w:szCs w:val="22"/>
                <w:color w:val="auto"/>
              </w:rPr>
            </w:pPr>
          </w:p>
        </w:tc>
        <w:tc>
          <w:tcPr>
            <w:tcW w:w="200" w:type="dxa"/>
            <w:vAlign w:val="bottom"/>
            <w:tcBorders>
              <w:top w:val="single" w:sz="8" w:color="auto"/>
              <w:bottom w:val="single" w:sz="8" w:color="auto"/>
            </w:tcBorders>
            <w:shd w:val="clear" w:color="auto" w:fill="F8F4F1"/>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80" w:type="dxa"/>
            <w:vAlign w:val="bottom"/>
            <w:tcBorders>
              <w:top w:val="single" w:sz="8" w:color="F8F4F1"/>
              <w:bottom w:val="single" w:sz="8" w:color="F8F4F1"/>
            </w:tcBorders>
            <w:shd w:val="clear" w:color="auto" w:fill="F8F4F1"/>
          </w:tcPr>
          <w:p>
            <w:pPr>
              <w:spacing w:after="0"/>
              <w:rPr>
                <w:sz w:val="22"/>
                <w:szCs w:val="22"/>
                <w:color w:val="auto"/>
              </w:rPr>
            </w:pPr>
          </w:p>
        </w:tc>
        <w:tc>
          <w:tcPr>
            <w:tcW w:w="9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3,722,950</w:t>
            </w:r>
          </w:p>
        </w:tc>
        <w:tc>
          <w:tcPr>
            <w:tcW w:w="80" w:type="dxa"/>
            <w:vAlign w:val="bottom"/>
            <w:tcBorders>
              <w:top w:val="single" w:sz="8" w:color="F8F4F1"/>
              <w:bottom w:val="single" w:sz="8" w:color="F8F4F1"/>
            </w:tcBorders>
            <w:shd w:val="clear" w:color="auto" w:fill="F8F4F1"/>
          </w:tcPr>
          <w:p>
            <w:pPr>
              <w:spacing w:after="0"/>
              <w:rPr>
                <w:sz w:val="22"/>
                <w:szCs w:val="22"/>
                <w:color w:val="auto"/>
              </w:rPr>
            </w:pPr>
          </w:p>
        </w:tc>
        <w:tc>
          <w:tcPr>
            <w:tcW w:w="100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 xml:space="preserve"> (2,272,393)</w:t>
            </w:r>
          </w:p>
        </w:tc>
        <w:tc>
          <w:tcPr>
            <w:tcW w:w="80" w:type="dxa"/>
            <w:vAlign w:val="bottom"/>
            <w:tcBorders>
              <w:top w:val="single" w:sz="8" w:color="F8F4F1"/>
              <w:bottom w:val="single" w:sz="8" w:color="F8F4F1"/>
            </w:tcBorders>
            <w:shd w:val="clear" w:color="auto" w:fill="F8F4F1"/>
          </w:tcPr>
          <w:p>
            <w:pPr>
              <w:spacing w:after="0"/>
              <w:rPr>
                <w:sz w:val="22"/>
                <w:szCs w:val="22"/>
                <w:color w:val="auto"/>
              </w:rPr>
            </w:pPr>
          </w:p>
        </w:tc>
        <w:tc>
          <w:tcPr>
            <w:tcW w:w="240" w:type="dxa"/>
            <w:vAlign w:val="bottom"/>
            <w:tcBorders>
              <w:top w:val="single" w:sz="8" w:color="auto"/>
              <w:bottom w:val="single" w:sz="8" w:color="auto"/>
            </w:tcBorders>
            <w:shd w:val="clear" w:color="auto" w:fill="F8F4F1"/>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(4,852)</w:t>
            </w:r>
          </w:p>
        </w:tc>
        <w:tc>
          <w:tcPr>
            <w:tcW w:w="80" w:type="dxa"/>
            <w:vAlign w:val="bottom"/>
            <w:tcBorders>
              <w:top w:val="single" w:sz="8" w:color="F8F4F1"/>
              <w:bottom w:val="single" w:sz="8" w:color="F8F4F1"/>
            </w:tcBorders>
            <w:shd w:val="clear" w:color="auto" w:fill="F8F4F1"/>
          </w:tcPr>
          <w:p>
            <w:pPr>
              <w:spacing w:after="0"/>
              <w:rPr>
                <w:sz w:val="22"/>
                <w:szCs w:val="22"/>
                <w:color w:val="auto"/>
              </w:rPr>
            </w:pPr>
          </w:p>
        </w:tc>
        <w:tc>
          <w:tcPr>
            <w:tcW w:w="16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80" w:type="dxa"/>
            <w:vAlign w:val="bottom"/>
            <w:tcBorders>
              <w:top w:val="single" w:sz="8" w:color="F8F4F1"/>
              <w:bottom w:val="single" w:sz="8" w:color="F8F4F1"/>
            </w:tcBorders>
            <w:shd w:val="clear" w:color="auto" w:fill="F8F4F1"/>
          </w:tcPr>
          <w:p>
            <w:pPr>
              <w:spacing w:after="0"/>
              <w:rPr>
                <w:sz w:val="22"/>
                <w:szCs w:val="22"/>
                <w:color w:val="auto"/>
              </w:rPr>
            </w:pPr>
          </w:p>
        </w:tc>
        <w:tc>
          <w:tcPr>
            <w:tcW w:w="200" w:type="dxa"/>
            <w:vAlign w:val="bottom"/>
            <w:tcBorders>
              <w:top w:val="single" w:sz="8" w:color="auto"/>
              <w:bottom w:val="single" w:sz="8" w:color="auto"/>
            </w:tcBorders>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1,448,432</w:t>
            </w:r>
          </w:p>
        </w:tc>
        <w:tc>
          <w:tcPr>
            <w:tcW w:w="0" w:type="dxa"/>
            <w:vAlign w:val="bottom"/>
          </w:tcPr>
          <w:p>
            <w:pPr>
              <w:spacing w:after="0"/>
              <w:rPr>
                <w:sz w:val="1"/>
                <w:szCs w:val="1"/>
                <w:color w:val="auto"/>
              </w:rPr>
            </w:pPr>
          </w:p>
        </w:tc>
      </w:tr>
      <w:tr>
        <w:trPr>
          <w:trHeight w:val="20"/>
        </w:trPr>
        <w:tc>
          <w:tcPr>
            <w:tcW w:w="4140" w:type="dxa"/>
            <w:vAlign w:val="bottom"/>
            <w:tcBorders>
              <w:top w:val="single" w:sz="8" w:color="F8F4F1"/>
            </w:tcBorders>
          </w:tcPr>
          <w:p>
            <w:pPr>
              <w:spacing w:after="0" w:line="20" w:lineRule="exact"/>
              <w:rPr>
                <w:sz w:val="1"/>
                <w:szCs w:val="1"/>
                <w:color w:val="auto"/>
              </w:rPr>
            </w:pPr>
          </w:p>
        </w:tc>
        <w:tc>
          <w:tcPr>
            <w:tcW w:w="800" w:type="dxa"/>
            <w:vAlign w:val="bottom"/>
            <w:tcBorders>
              <w:top w:val="single" w:sz="8" w:color="F8F4F1"/>
              <w:bottom w:val="single" w:sz="8" w:color="auto"/>
            </w:tcBorders>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560" w:type="dxa"/>
            <w:vAlign w:val="bottom"/>
            <w:tcBorders>
              <w:top w:val="single" w:sz="8" w:color="F8F4F1"/>
              <w:bottom w:val="single" w:sz="8" w:color="auto"/>
            </w:tcBorders>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920" w:type="dxa"/>
            <w:vAlign w:val="bottom"/>
            <w:tcBorders>
              <w:top w:val="single" w:sz="8" w:color="F8F4F1"/>
              <w:bottom w:val="single" w:sz="8" w:color="auto"/>
            </w:tcBorders>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1000" w:type="dxa"/>
            <w:vAlign w:val="bottom"/>
            <w:tcBorders>
              <w:top w:val="single" w:sz="8" w:color="F8F4F1"/>
              <w:bottom w:val="single" w:sz="8" w:color="auto"/>
            </w:tcBorders>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1120" w:type="dxa"/>
            <w:vAlign w:val="bottom"/>
            <w:tcBorders>
              <w:top w:val="single" w:sz="8" w:color="F8F4F1"/>
              <w:bottom w:val="single" w:sz="8" w:color="auto"/>
            </w:tcBorders>
            <w:gridSpan w:val="2"/>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160" w:type="dxa"/>
            <w:vAlign w:val="bottom"/>
            <w:tcBorders>
              <w:top w:val="single" w:sz="8" w:color="F8F4F1"/>
              <w:bottom w:val="single" w:sz="8" w:color="auto"/>
            </w:tcBorders>
          </w:tcPr>
          <w:p>
            <w:pPr>
              <w:spacing w:after="0" w:line="20" w:lineRule="exact"/>
              <w:rPr>
                <w:sz w:val="1"/>
                <w:szCs w:val="1"/>
                <w:color w:val="auto"/>
              </w:rPr>
            </w:pPr>
          </w:p>
        </w:tc>
        <w:tc>
          <w:tcPr>
            <w:tcW w:w="800" w:type="dxa"/>
            <w:vAlign w:val="bottom"/>
            <w:tcBorders>
              <w:top w:val="single" w:sz="8" w:color="F8F4F1"/>
              <w:bottom w:val="single" w:sz="8" w:color="auto"/>
            </w:tcBorders>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8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24"/>
                <w:szCs w:val="24"/>
                <w:color w:val="auto"/>
              </w:rPr>
            </w:pPr>
          </w:p>
        </w:tc>
        <w:tc>
          <w:tcPr>
            <w:tcW w:w="860" w:type="dxa"/>
            <w:vAlign w:val="bottom"/>
            <w:vMerge w:val="restart"/>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Distributions</w:t>
            </w:r>
          </w:p>
        </w:tc>
        <w:tc>
          <w:tcPr>
            <w:tcW w:w="240" w:type="dxa"/>
            <w:vAlign w:val="bottom"/>
          </w:tcPr>
          <w:p>
            <w:pPr>
              <w:spacing w:after="0"/>
              <w:rPr>
                <w:sz w:val="14"/>
                <w:szCs w:val="14"/>
                <w:color w:val="auto"/>
              </w:rPr>
            </w:pPr>
          </w:p>
        </w:tc>
        <w:tc>
          <w:tcPr>
            <w:tcW w:w="9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40" w:type="dxa"/>
            <w:vAlign w:val="bottom"/>
          </w:tcPr>
          <w:p>
            <w:pPr>
              <w:spacing w:after="0"/>
              <w:rPr>
                <w:sz w:val="10"/>
                <w:szCs w:val="10"/>
                <w:color w:val="auto"/>
              </w:rPr>
            </w:pPr>
          </w:p>
        </w:tc>
        <w:tc>
          <w:tcPr>
            <w:tcW w:w="16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80" w:type="dxa"/>
            <w:vAlign w:val="bottom"/>
            <w:gridSpan w:val="2"/>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in Excess of</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06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6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86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8"/>
        </w:trPr>
        <w:tc>
          <w:tcPr>
            <w:tcW w:w="4140" w:type="dxa"/>
            <w:vAlign w:val="bottom"/>
            <w:tcBorders>
              <w:top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2025</w:t>
            </w:r>
          </w:p>
        </w:tc>
        <w:tc>
          <w:tcPr>
            <w:tcW w:w="80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124,492</w:t>
            </w:r>
          </w:p>
        </w:tc>
        <w:tc>
          <w:tcPr>
            <w:tcW w:w="80" w:type="dxa"/>
            <w:vAlign w:val="bottom"/>
            <w:tcBorders>
              <w:top w:val="single" w:sz="8" w:color="F8F4F1"/>
            </w:tcBorders>
            <w:shd w:val="clear" w:color="auto" w:fill="F8F4F1"/>
          </w:tcPr>
          <w:p>
            <w:pPr>
              <w:spacing w:after="0"/>
              <w:rPr>
                <w:sz w:val="20"/>
                <w:szCs w:val="20"/>
                <w:color w:val="auto"/>
              </w:rPr>
            </w:pPr>
          </w:p>
        </w:tc>
        <w:tc>
          <w:tcPr>
            <w:tcW w:w="200" w:type="dxa"/>
            <w:vAlign w:val="bottom"/>
            <w:tcBorders>
              <w:top w:val="single" w:sz="8" w:color="auto"/>
            </w:tcBorders>
            <w:shd w:val="clear" w:color="auto" w:fill="F8F4F1"/>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Borders>
              <w:top w:val="single" w:sz="8" w:color="F8F4F1"/>
            </w:tcBorders>
            <w:shd w:val="clear" w:color="auto" w:fill="F8F4F1"/>
          </w:tcPr>
          <w:p>
            <w:pPr>
              <w:spacing w:after="0"/>
              <w:rPr>
                <w:sz w:val="20"/>
                <w:szCs w:val="20"/>
                <w:color w:val="auto"/>
              </w:rPr>
            </w:pPr>
          </w:p>
        </w:tc>
        <w:tc>
          <w:tcPr>
            <w:tcW w:w="92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$3,725,769</w:t>
            </w:r>
          </w:p>
        </w:tc>
        <w:tc>
          <w:tcPr>
            <w:tcW w:w="80" w:type="dxa"/>
            <w:vAlign w:val="bottom"/>
            <w:tcBorders>
              <w:top w:val="single" w:sz="8" w:color="F8F4F1"/>
            </w:tcBorders>
            <w:shd w:val="clear" w:color="auto" w:fill="F8F4F1"/>
          </w:tcPr>
          <w:p>
            <w:pPr>
              <w:spacing w:after="0"/>
              <w:rPr>
                <w:sz w:val="20"/>
                <w:szCs w:val="20"/>
                <w:color w:val="auto"/>
              </w:rPr>
            </w:pPr>
          </w:p>
        </w:tc>
        <w:tc>
          <w:tcPr>
            <w:tcW w:w="100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98"/>
              </w:rPr>
              <w:t>$ (2,170,642)</w:t>
            </w:r>
          </w:p>
        </w:tc>
        <w:tc>
          <w:tcPr>
            <w:tcW w:w="80" w:type="dxa"/>
            <w:vAlign w:val="bottom"/>
            <w:tcBorders>
              <w:top w:val="single" w:sz="8" w:color="F8F4F1"/>
            </w:tcBorders>
            <w:shd w:val="clear" w:color="auto" w:fill="F8F4F1"/>
          </w:tcPr>
          <w:p>
            <w:pPr>
              <w:spacing w:after="0"/>
              <w:rPr>
                <w:sz w:val="20"/>
                <w:szCs w:val="20"/>
                <w:color w:val="auto"/>
              </w:rPr>
            </w:pPr>
          </w:p>
        </w:tc>
        <w:tc>
          <w:tcPr>
            <w:tcW w:w="240" w:type="dxa"/>
            <w:vAlign w:val="bottom"/>
            <w:tcBorders>
              <w:top w:val="single" w:sz="8" w:color="auto"/>
            </w:tcBorders>
            <w:shd w:val="clear" w:color="auto" w:fill="F8F4F1"/>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80" w:type="dxa"/>
            <w:vAlign w:val="bottom"/>
            <w:tcBorders>
              <w:top w:val="single" w:sz="8" w:color="F8F4F1"/>
            </w:tcBorders>
            <w:shd w:val="clear" w:color="auto" w:fill="F8F4F1"/>
          </w:tcPr>
          <w:p>
            <w:pPr>
              <w:spacing w:after="0"/>
              <w:rPr>
                <w:sz w:val="20"/>
                <w:szCs w:val="20"/>
                <w:color w:val="auto"/>
              </w:rPr>
            </w:pPr>
          </w:p>
        </w:tc>
        <w:tc>
          <w:tcPr>
            <w:tcW w:w="16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Borders>
              <w:top w:val="single" w:sz="8" w:color="F8F4F1"/>
            </w:tcBorders>
            <w:shd w:val="clear" w:color="auto" w:fill="F8F4F1"/>
          </w:tcPr>
          <w:p>
            <w:pPr>
              <w:spacing w:after="0"/>
              <w:rPr>
                <w:sz w:val="20"/>
                <w:szCs w:val="20"/>
                <w:color w:val="auto"/>
              </w:rPr>
            </w:pPr>
          </w:p>
        </w:tc>
        <w:tc>
          <w:tcPr>
            <w:tcW w:w="200" w:type="dxa"/>
            <w:vAlign w:val="bottom"/>
            <w:tcBorders>
              <w:top w:val="single" w:sz="8" w:color="auto"/>
            </w:tcBorders>
            <w:shd w:val="clear" w:color="auto" w:fill="F8F4F1"/>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1,548,010</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issuance of common stock</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Dividends to stockholders of subsidiaries</w:t>
            </w: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8F4F1"/>
          </w:tcPr>
          <w:p>
            <w:pPr>
              <w:spacing w:after="0"/>
              <w:rPr>
                <w:sz w:val="21"/>
                <w:szCs w:val="21"/>
                <w:color w:val="auto"/>
              </w:rPr>
            </w:pPr>
          </w:p>
        </w:tc>
        <w:tc>
          <w:tcPr>
            <w:tcW w:w="64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8F4F1"/>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75"/>
        </w:trPr>
        <w:tc>
          <w:tcPr>
            <w:tcW w:w="414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Shares issued and amortized pursuant to equity incentive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Pr>
          <w:p>
            <w:pPr>
              <w:spacing w:after="0"/>
              <w:rPr>
                <w:sz w:val="15"/>
                <w:szCs w:val="15"/>
                <w:color w:val="auto"/>
              </w:rPr>
            </w:pP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0" w:type="dxa"/>
            <w:vAlign w:val="bottom"/>
          </w:tcPr>
          <w:p>
            <w:pPr>
              <w:spacing w:after="0"/>
              <w:rPr>
                <w:sz w:val="1"/>
                <w:szCs w:val="1"/>
                <w:color w:val="auto"/>
              </w:rPr>
            </w:pPr>
          </w:p>
        </w:tc>
      </w:tr>
      <w:tr>
        <w:trPr>
          <w:trHeight w:val="216"/>
        </w:trPr>
        <w:tc>
          <w:tcPr>
            <w:tcW w:w="4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plan, net of tax</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Net income applicable to noncontrolling interest</w:t>
            </w: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8F4F1"/>
          </w:tcPr>
          <w:p>
            <w:pPr>
              <w:spacing w:after="0"/>
              <w:rPr>
                <w:sz w:val="21"/>
                <w:szCs w:val="21"/>
                <w:color w:val="auto"/>
              </w:rPr>
            </w:pPr>
          </w:p>
        </w:tc>
        <w:tc>
          <w:tcPr>
            <w:tcW w:w="64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8F4F1"/>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applicable to Piedmont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w:t>
            </w: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8F4F1"/>
          </w:tcPr>
          <w:p>
            <w:pPr>
              <w:spacing w:after="0"/>
              <w:rPr>
                <w:sz w:val="21"/>
                <w:szCs w:val="21"/>
                <w:color w:val="auto"/>
              </w:rPr>
            </w:pPr>
          </w:p>
        </w:tc>
        <w:tc>
          <w:tcPr>
            <w:tcW w:w="64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8F4F1"/>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8F4F1"/>
          </w:tcPr>
          <w:p>
            <w:pPr>
              <w:spacing w:after="0"/>
              <w:rPr>
                <w:sz w:val="21"/>
                <w:szCs w:val="21"/>
                <w:color w:val="auto"/>
              </w:rPr>
            </w:pPr>
          </w:p>
        </w:tc>
        <w:tc>
          <w:tcPr>
            <w:tcW w:w="8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88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36"/>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124,504</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3,727,914</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(2,184,104)</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1,537,047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08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Distributions</w:t>
            </w:r>
          </w:p>
        </w:tc>
        <w:tc>
          <w:tcPr>
            <w:tcW w:w="240" w:type="dxa"/>
            <w:vAlign w:val="bottom"/>
          </w:tcPr>
          <w:p>
            <w:pPr>
              <w:spacing w:after="0"/>
              <w:rPr>
                <w:sz w:val="4"/>
                <w:szCs w:val="4"/>
                <w:color w:val="auto"/>
              </w:rPr>
            </w:pPr>
          </w:p>
        </w:tc>
        <w:tc>
          <w:tcPr>
            <w:tcW w:w="96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4"/>
                <w:szCs w:val="4"/>
                <w:color w:val="auto"/>
              </w:rPr>
            </w:pPr>
          </w:p>
        </w:tc>
        <w:tc>
          <w:tcPr>
            <w:tcW w:w="8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4"/>
                <w:szCs w:val="4"/>
                <w:color w:val="auto"/>
              </w:rPr>
            </w:pPr>
          </w:p>
        </w:tc>
        <w:tc>
          <w:tcPr>
            <w:tcW w:w="860" w:type="dxa"/>
            <w:vAlign w:val="bottom"/>
            <w:vMerge w:val="restart"/>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8"/>
        </w:trPr>
        <w:tc>
          <w:tcPr>
            <w:tcW w:w="4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4"/>
                <w:szCs w:val="14"/>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 Excess of</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6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8"/>
                <w:szCs w:val="18"/>
                <w:color w:val="auto"/>
              </w:rPr>
            </w:pPr>
          </w:p>
        </w:tc>
        <w:tc>
          <w:tcPr>
            <w:tcW w:w="8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8"/>
        </w:trPr>
        <w:tc>
          <w:tcPr>
            <w:tcW w:w="4160" w:type="dxa"/>
            <w:vAlign w:val="bottom"/>
            <w:tcBorders>
              <w:top w:val="single" w:sz="8" w:color="F8F4F1"/>
            </w:tcBorders>
            <w:gridSpan w:val="2"/>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80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124,519</w:t>
            </w:r>
          </w:p>
        </w:tc>
        <w:tc>
          <w:tcPr>
            <w:tcW w:w="20" w:type="dxa"/>
            <w:vAlign w:val="bottom"/>
            <w:tcBorders>
              <w:top w:val="single" w:sz="8" w:color="auto"/>
            </w:tcBorders>
            <w:shd w:val="clear" w:color="auto" w:fill="F8F4F1"/>
          </w:tcPr>
          <w:p>
            <w:pPr>
              <w:spacing w:after="0"/>
              <w:rPr>
                <w:sz w:val="20"/>
                <w:szCs w:val="20"/>
                <w:color w:val="auto"/>
              </w:rPr>
            </w:pPr>
          </w:p>
        </w:tc>
        <w:tc>
          <w:tcPr>
            <w:tcW w:w="80" w:type="dxa"/>
            <w:vAlign w:val="bottom"/>
            <w:tcBorders>
              <w:top w:val="single" w:sz="8" w:color="F8F4F1"/>
            </w:tcBorders>
            <w:shd w:val="clear" w:color="auto" w:fill="F8F4F1"/>
          </w:tcPr>
          <w:p>
            <w:pPr>
              <w:spacing w:after="0"/>
              <w:rPr>
                <w:sz w:val="20"/>
                <w:szCs w:val="20"/>
                <w:color w:val="auto"/>
              </w:rPr>
            </w:pPr>
          </w:p>
        </w:tc>
        <w:tc>
          <w:tcPr>
            <w:tcW w:w="200" w:type="dxa"/>
            <w:vAlign w:val="bottom"/>
            <w:tcBorders>
              <w:top w:val="single" w:sz="8" w:color="auto"/>
            </w:tcBorders>
            <w:gridSpan w:val="2"/>
            <w:shd w:val="clear" w:color="auto" w:fill="F8F4F1"/>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80" w:type="dxa"/>
            <w:vAlign w:val="bottom"/>
            <w:tcBorders>
              <w:top w:val="single" w:sz="8" w:color="F8F4F1"/>
            </w:tcBorders>
            <w:shd w:val="clear" w:color="auto" w:fill="F8F4F1"/>
          </w:tcPr>
          <w:p>
            <w:pPr>
              <w:spacing w:after="0"/>
              <w:rPr>
                <w:sz w:val="20"/>
                <w:szCs w:val="20"/>
                <w:color w:val="auto"/>
              </w:rPr>
            </w:pPr>
          </w:p>
        </w:tc>
        <w:tc>
          <w:tcPr>
            <w:tcW w:w="92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$3,730,273</w:t>
            </w:r>
          </w:p>
        </w:tc>
        <w:tc>
          <w:tcPr>
            <w:tcW w:w="80" w:type="dxa"/>
            <w:vAlign w:val="bottom"/>
            <w:tcBorders>
              <w:top w:val="single" w:sz="8" w:color="F8F4F1"/>
            </w:tcBorders>
            <w:shd w:val="clear" w:color="auto" w:fill="F8F4F1"/>
          </w:tcPr>
          <w:p>
            <w:pPr>
              <w:spacing w:after="0"/>
              <w:rPr>
                <w:sz w:val="20"/>
                <w:szCs w:val="20"/>
                <w:color w:val="auto"/>
              </w:rPr>
            </w:pPr>
          </w:p>
        </w:tc>
        <w:tc>
          <w:tcPr>
            <w:tcW w:w="100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(2,227,350)</w:t>
            </w:r>
          </w:p>
        </w:tc>
        <w:tc>
          <w:tcPr>
            <w:tcW w:w="80" w:type="dxa"/>
            <w:vAlign w:val="bottom"/>
            <w:tcBorders>
              <w:top w:val="single" w:sz="8" w:color="F8F4F1"/>
            </w:tcBorders>
            <w:shd w:val="clear" w:color="auto" w:fill="F8F4F1"/>
          </w:tcPr>
          <w:p>
            <w:pPr>
              <w:spacing w:after="0"/>
              <w:rPr>
                <w:sz w:val="20"/>
                <w:szCs w:val="20"/>
                <w:color w:val="auto"/>
              </w:rPr>
            </w:pPr>
          </w:p>
        </w:tc>
        <w:tc>
          <w:tcPr>
            <w:tcW w:w="240" w:type="dxa"/>
            <w:vAlign w:val="bottom"/>
            <w:tcBorders>
              <w:top w:val="single" w:sz="8" w:color="auto"/>
            </w:tcBorders>
            <w:shd w:val="clear" w:color="auto" w:fill="F8F4F1"/>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(8,967)</w:t>
            </w:r>
          </w:p>
        </w:tc>
        <w:tc>
          <w:tcPr>
            <w:tcW w:w="80" w:type="dxa"/>
            <w:vAlign w:val="bottom"/>
            <w:tcBorders>
              <w:top w:val="single" w:sz="8" w:color="F8F4F1"/>
            </w:tcBorders>
            <w:shd w:val="clear" w:color="auto" w:fill="F8F4F1"/>
          </w:tcPr>
          <w:p>
            <w:pPr>
              <w:spacing w:after="0"/>
              <w:rPr>
                <w:sz w:val="20"/>
                <w:szCs w:val="20"/>
                <w:color w:val="auto"/>
              </w:rPr>
            </w:pPr>
          </w:p>
        </w:tc>
        <w:tc>
          <w:tcPr>
            <w:tcW w:w="16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80" w:type="dxa"/>
            <w:vAlign w:val="bottom"/>
            <w:tcBorders>
              <w:top w:val="single" w:sz="8" w:color="F8F4F1"/>
            </w:tcBorders>
            <w:shd w:val="clear" w:color="auto" w:fill="F8F4F1"/>
          </w:tcPr>
          <w:p>
            <w:pPr>
              <w:spacing w:after="0"/>
              <w:rPr>
                <w:sz w:val="20"/>
                <w:szCs w:val="20"/>
                <w:color w:val="auto"/>
              </w:rPr>
            </w:pPr>
          </w:p>
        </w:tc>
        <w:tc>
          <w:tcPr>
            <w:tcW w:w="18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1,496,703</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Shares issued under ATM program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39,966</w:t>
            </w:r>
          </w:p>
        </w:tc>
        <w:tc>
          <w:tcPr>
            <w:tcW w:w="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40,007</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Share repurchases</w:t>
            </w: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20" w:type="dxa"/>
            <w:vAlign w:val="bottom"/>
            <w:shd w:val="clear" w:color="auto" w:fill="F8F4F1"/>
          </w:tcPr>
          <w:p>
            <w:pPr>
              <w:spacing w:after="0"/>
              <w:rPr>
                <w:sz w:val="21"/>
                <w:szCs w:val="21"/>
                <w:color w:val="auto"/>
              </w:rPr>
            </w:pPr>
          </w:p>
        </w:tc>
        <w:tc>
          <w:tcPr>
            <w:tcW w:w="80" w:type="dxa"/>
            <w:vAlign w:val="bottom"/>
            <w:shd w:val="clear" w:color="auto" w:fill="F8F4F1"/>
          </w:tcPr>
          <w:p>
            <w:pPr>
              <w:spacing w:after="0"/>
              <w:rPr>
                <w:sz w:val="21"/>
                <w:szCs w:val="21"/>
                <w:color w:val="auto"/>
              </w:rPr>
            </w:pPr>
          </w:p>
        </w:tc>
        <w:tc>
          <w:tcPr>
            <w:tcW w:w="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5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shd w:val="clear" w:color="auto" w:fill="F8F4F1"/>
          </w:tcPr>
          <w:p>
            <w:pPr>
              <w:spacing w:after="0"/>
              <w:rPr>
                <w:sz w:val="21"/>
                <w:szCs w:val="21"/>
                <w:color w:val="auto"/>
              </w:rPr>
            </w:pPr>
          </w:p>
        </w:tc>
        <w:tc>
          <w:tcPr>
            <w:tcW w:w="9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(49,946)</w:t>
            </w:r>
          </w:p>
        </w:tc>
        <w:tc>
          <w:tcPr>
            <w:tcW w:w="80" w:type="dxa"/>
            <w:vAlign w:val="bottom"/>
            <w:shd w:val="clear" w:color="auto" w:fill="F8F4F1"/>
          </w:tcPr>
          <w:p>
            <w:pPr>
              <w:spacing w:after="0"/>
              <w:rPr>
                <w:sz w:val="21"/>
                <w:szCs w:val="21"/>
                <w:color w:val="auto"/>
              </w:rPr>
            </w:pPr>
          </w:p>
        </w:tc>
        <w:tc>
          <w:tcPr>
            <w:tcW w:w="1080" w:type="dxa"/>
            <w:vAlign w:val="bottom"/>
            <w:gridSpan w:val="2"/>
            <w:shd w:val="clear" w:color="auto" w:fill="F8F4F1"/>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21"/>
                <w:szCs w:val="21"/>
                <w:color w:val="auto"/>
              </w:rPr>
            </w:pP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Costs of issuance of common stock</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Dividends to stockholders of subsidiaries</w:t>
            </w:r>
          </w:p>
        </w:tc>
        <w:tc>
          <w:tcPr>
            <w:tcW w:w="900" w:type="dxa"/>
            <w:vAlign w:val="bottom"/>
            <w:gridSpan w:val="3"/>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62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80" w:type="dxa"/>
            <w:vAlign w:val="bottom"/>
            <w:shd w:val="clear" w:color="auto" w:fill="F8F4F1"/>
          </w:tcPr>
          <w:p>
            <w:pPr>
              <w:spacing w:after="0"/>
              <w:rPr>
                <w:sz w:val="21"/>
                <w:szCs w:val="21"/>
                <w:color w:val="auto"/>
              </w:rPr>
            </w:pPr>
          </w:p>
        </w:tc>
        <w:tc>
          <w:tcPr>
            <w:tcW w:w="1080" w:type="dxa"/>
            <w:vAlign w:val="bottom"/>
            <w:gridSpan w:val="2"/>
            <w:shd w:val="clear" w:color="auto" w:fill="F8F4F1"/>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Shares issued and amortized pursuant to equity incentive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3,655</w:t>
            </w:r>
          </w:p>
        </w:tc>
        <w:tc>
          <w:tcPr>
            <w:tcW w:w="8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3,661</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plan, net of tax</w:t>
            </w: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Net income applicable to noncontrolling interest</w:t>
            </w:r>
          </w:p>
        </w:tc>
        <w:tc>
          <w:tcPr>
            <w:tcW w:w="900" w:type="dxa"/>
            <w:vAlign w:val="bottom"/>
            <w:gridSpan w:val="3"/>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62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F8F4F1"/>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loss applicable to Piedmont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(45,043)</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00" w:type="dxa"/>
            <w:vAlign w:val="bottom"/>
            <w:gridSpan w:val="3"/>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62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F8F4F1"/>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F8F4F1"/>
          </w:tcPr>
          <w:p>
            <w:pPr>
              <w:spacing w:after="0"/>
              <w:rPr>
                <w:sz w:val="21"/>
                <w:szCs w:val="21"/>
                <w:color w:val="auto"/>
              </w:rPr>
            </w:pPr>
          </w:p>
        </w:tc>
        <w:tc>
          <w:tcPr>
            <w:tcW w:w="8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c>
          <w:tcPr>
            <w:tcW w:w="8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88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123,814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3,722,950</w:t>
            </w:r>
          </w:p>
        </w:tc>
        <w:tc>
          <w:tcPr>
            <w:tcW w:w="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 xml:space="preserve"> (2,272,393)</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1,448,432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08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Distributions</w:t>
            </w:r>
          </w:p>
        </w:tc>
        <w:tc>
          <w:tcPr>
            <w:tcW w:w="240" w:type="dxa"/>
            <w:vAlign w:val="bottom"/>
          </w:tcPr>
          <w:p>
            <w:pPr>
              <w:spacing w:after="0"/>
              <w:rPr>
                <w:sz w:val="4"/>
                <w:szCs w:val="4"/>
                <w:color w:val="auto"/>
              </w:rPr>
            </w:pPr>
          </w:p>
        </w:tc>
        <w:tc>
          <w:tcPr>
            <w:tcW w:w="96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4"/>
                <w:szCs w:val="4"/>
                <w:color w:val="auto"/>
              </w:rPr>
            </w:pPr>
          </w:p>
        </w:tc>
        <w:tc>
          <w:tcPr>
            <w:tcW w:w="8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4"/>
                <w:szCs w:val="4"/>
                <w:color w:val="auto"/>
              </w:rPr>
            </w:pPr>
          </w:p>
        </w:tc>
        <w:tc>
          <w:tcPr>
            <w:tcW w:w="860" w:type="dxa"/>
            <w:vAlign w:val="bottom"/>
            <w:vMerge w:val="restart"/>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8"/>
        </w:trPr>
        <w:tc>
          <w:tcPr>
            <w:tcW w:w="4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gridSpan w:val="2"/>
            <w:vMerge w:val="restart"/>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 Excess of</w:t>
            </w:r>
          </w:p>
        </w:tc>
        <w:tc>
          <w:tcPr>
            <w:tcW w:w="12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F8F4F1"/>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F8F4F1"/>
            </w:tcBorders>
            <w:gridSpan w:val="2"/>
            <w:vMerge w:val="continue"/>
          </w:tcPr>
          <w:p>
            <w:pPr>
              <w:spacing w:after="0"/>
              <w:rPr>
                <w:sz w:val="18"/>
                <w:szCs w:val="18"/>
                <w:color w:val="auto"/>
              </w:rPr>
            </w:pPr>
          </w:p>
        </w:tc>
        <w:tc>
          <w:tcPr>
            <w:tcW w:w="20" w:type="dxa"/>
            <w:vAlign w:val="bottom"/>
            <w:tcBorders>
              <w:bottom w:val="single" w:sz="8" w:color="F8F4F1"/>
            </w:tcBorders>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F8F4F1"/>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F8F4F1"/>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F8F4F1"/>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80" w:type="dxa"/>
            <w:vAlign w:val="bottom"/>
            <w:tcBorders>
              <w:bottom w:val="single" w:sz="8" w:color="F8F4F1"/>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80" w:type="dxa"/>
            <w:vAlign w:val="bottom"/>
            <w:tcBorders>
              <w:bottom w:val="single" w:sz="8" w:color="F8F4F1"/>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8"/>
        </w:trPr>
        <w:tc>
          <w:tcPr>
            <w:tcW w:w="416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124,083</w:t>
            </w:r>
          </w:p>
        </w:tc>
        <w:tc>
          <w:tcPr>
            <w:tcW w:w="20" w:type="dxa"/>
            <w:vAlign w:val="bottom"/>
            <w:shd w:val="clear" w:color="auto" w:fill="F8F4F1"/>
          </w:tcPr>
          <w:p>
            <w:pPr>
              <w:spacing w:after="0"/>
              <w:rPr>
                <w:sz w:val="20"/>
                <w:szCs w:val="20"/>
                <w:color w:val="auto"/>
              </w:rPr>
            </w:pPr>
          </w:p>
        </w:tc>
        <w:tc>
          <w:tcPr>
            <w:tcW w:w="80" w:type="dxa"/>
            <w:vAlign w:val="bottom"/>
            <w:shd w:val="clear" w:color="auto" w:fill="F8F4F1"/>
          </w:tcPr>
          <w:p>
            <w:pPr>
              <w:spacing w:after="0"/>
              <w:rPr>
                <w:sz w:val="20"/>
                <w:szCs w:val="20"/>
                <w:color w:val="auto"/>
              </w:rPr>
            </w:pPr>
          </w:p>
        </w:tc>
        <w:tc>
          <w:tcPr>
            <w:tcW w:w="20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shd w:val="clear" w:color="auto" w:fill="F8F4F1"/>
          </w:tcPr>
          <w:p>
            <w:pPr>
              <w:spacing w:after="0"/>
              <w:rPr>
                <w:sz w:val="20"/>
                <w:szCs w:val="20"/>
                <w:color w:val="auto"/>
              </w:rPr>
            </w:pPr>
          </w:p>
        </w:tc>
        <w:tc>
          <w:tcPr>
            <w:tcW w:w="9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$3,723,680</w:t>
            </w:r>
          </w:p>
        </w:tc>
        <w:tc>
          <w:tcPr>
            <w:tcW w:w="80" w:type="dxa"/>
            <w:vAlign w:val="bottom"/>
            <w:shd w:val="clear" w:color="auto" w:fill="F8F4F1"/>
          </w:tcPr>
          <w:p>
            <w:pPr>
              <w:spacing w:after="0"/>
              <w:rPr>
                <w:sz w:val="20"/>
                <w:szCs w:val="20"/>
                <w:color w:val="auto"/>
              </w:rPr>
            </w:pPr>
          </w:p>
        </w:tc>
        <w:tc>
          <w:tcPr>
            <w:tcW w:w="10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98"/>
              </w:rPr>
              <w:t>$ (2,128,194)</w:t>
            </w:r>
          </w:p>
        </w:tc>
        <w:tc>
          <w:tcPr>
            <w:tcW w:w="80" w:type="dxa"/>
            <w:vAlign w:val="bottom"/>
            <w:shd w:val="clear" w:color="auto" w:fill="F8F4F1"/>
          </w:tcPr>
          <w:p>
            <w:pPr>
              <w:spacing w:after="0"/>
              <w:rPr>
                <w:sz w:val="20"/>
                <w:szCs w:val="20"/>
                <w:color w:val="auto"/>
              </w:rPr>
            </w:pPr>
          </w:p>
        </w:tc>
        <w:tc>
          <w:tcPr>
            <w:tcW w:w="240" w:type="dxa"/>
            <w:vAlign w:val="bottom"/>
            <w:shd w:val="clear" w:color="auto" w:fill="F8F4F1"/>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shd w:val="clear" w:color="auto" w:fill="F8F4F1"/>
          </w:tcPr>
          <w:p>
            <w:pPr>
              <w:spacing w:after="0"/>
              <w:rPr>
                <w:sz w:val="20"/>
                <w:szCs w:val="20"/>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F8F4F1"/>
          </w:tcPr>
          <w:p>
            <w:pPr>
              <w:spacing w:after="0"/>
              <w:rPr>
                <w:sz w:val="20"/>
                <w:szCs w:val="20"/>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1,588,127</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Costs of issuance of common stock</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F8F4F1"/>
          </w:tcPr>
          <w:p>
            <w:pPr>
              <w:ind w:left="180"/>
              <w:spacing w:after="0" w:line="175" w:lineRule="exact"/>
              <w:rPr>
                <w:sz w:val="20"/>
                <w:szCs w:val="20"/>
                <w:color w:val="auto"/>
              </w:rPr>
            </w:pPr>
            <w:r>
              <w:rPr>
                <w:rFonts w:ascii="Times New Roman" w:cs="Times New Roman" w:eastAsia="Times New Roman" w:hAnsi="Times New Roman"/>
                <w:sz w:val="16"/>
                <w:szCs w:val="16"/>
                <w:color w:val="auto"/>
              </w:rPr>
              <w:t>Dividends to common stockholders ($0.125 per share) and</w:t>
            </w:r>
          </w:p>
        </w:tc>
        <w:tc>
          <w:tcPr>
            <w:tcW w:w="900" w:type="dxa"/>
            <w:vAlign w:val="bottom"/>
            <w:gridSpan w:val="3"/>
            <w:vMerge w:val="restart"/>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8F4F1"/>
          </w:tcPr>
          <w:p>
            <w:pPr>
              <w:spacing w:after="0"/>
              <w:rPr>
                <w:sz w:val="15"/>
                <w:szCs w:val="15"/>
                <w:color w:val="auto"/>
              </w:rPr>
            </w:pPr>
          </w:p>
        </w:tc>
        <w:tc>
          <w:tcPr>
            <w:tcW w:w="180" w:type="dxa"/>
            <w:vAlign w:val="bottom"/>
            <w:shd w:val="clear" w:color="auto" w:fill="F8F4F1"/>
          </w:tcPr>
          <w:p>
            <w:pPr>
              <w:spacing w:after="0"/>
              <w:rPr>
                <w:sz w:val="15"/>
                <w:szCs w:val="15"/>
                <w:color w:val="auto"/>
              </w:rPr>
            </w:pPr>
          </w:p>
        </w:tc>
        <w:tc>
          <w:tcPr>
            <w:tcW w:w="620" w:type="dxa"/>
            <w:vAlign w:val="bottom"/>
            <w:gridSpan w:val="2"/>
            <w:vMerge w:val="restart"/>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80" w:type="dxa"/>
            <w:vAlign w:val="bottom"/>
            <w:shd w:val="clear" w:color="auto" w:fill="F8F4F1"/>
          </w:tcPr>
          <w:p>
            <w:pPr>
              <w:spacing w:after="0"/>
              <w:rPr>
                <w:sz w:val="15"/>
                <w:szCs w:val="15"/>
                <w:color w:val="auto"/>
              </w:rPr>
            </w:pPr>
          </w:p>
        </w:tc>
        <w:tc>
          <w:tcPr>
            <w:tcW w:w="240" w:type="dxa"/>
            <w:vAlign w:val="bottom"/>
            <w:shd w:val="clear" w:color="auto" w:fill="F8F4F1"/>
          </w:tcPr>
          <w:p>
            <w:pPr>
              <w:spacing w:after="0"/>
              <w:rPr>
                <w:sz w:val="15"/>
                <w:szCs w:val="15"/>
                <w:color w:val="auto"/>
              </w:rPr>
            </w:pPr>
          </w:p>
        </w:tc>
        <w:tc>
          <w:tcPr>
            <w:tcW w:w="960" w:type="dxa"/>
            <w:vAlign w:val="bottom"/>
            <w:gridSpan w:val="2"/>
            <w:vMerge w:val="restart"/>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8F4F1"/>
          </w:tcPr>
          <w:p>
            <w:pPr>
              <w:spacing w:after="0"/>
              <w:rPr>
                <w:sz w:val="15"/>
                <w:szCs w:val="15"/>
                <w:color w:val="auto"/>
              </w:rPr>
            </w:pPr>
          </w:p>
        </w:tc>
        <w:tc>
          <w:tcPr>
            <w:tcW w:w="80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F8F4F1"/>
          </w:tcPr>
          <w:p>
            <w:pPr>
              <w:spacing w:after="0"/>
              <w:rPr>
                <w:sz w:val="15"/>
                <w:szCs w:val="15"/>
                <w:color w:val="auto"/>
              </w:rPr>
            </w:pPr>
          </w:p>
        </w:tc>
        <w:tc>
          <w:tcPr>
            <w:tcW w:w="180" w:type="dxa"/>
            <w:vAlign w:val="bottom"/>
            <w:shd w:val="clear" w:color="auto" w:fill="F8F4F1"/>
          </w:tcPr>
          <w:p>
            <w:pPr>
              <w:spacing w:after="0"/>
              <w:rPr>
                <w:sz w:val="15"/>
                <w:szCs w:val="15"/>
                <w:color w:val="auto"/>
              </w:rPr>
            </w:pPr>
          </w:p>
        </w:tc>
        <w:tc>
          <w:tcPr>
            <w:tcW w:w="8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F8F4F1"/>
          </w:tcPr>
          <w:p>
            <w:pPr>
              <w:ind w:left="360"/>
              <w:spacing w:after="0"/>
              <w:rPr>
                <w:sz w:val="20"/>
                <w:szCs w:val="20"/>
                <w:color w:val="auto"/>
              </w:rPr>
            </w:pPr>
            <w:r>
              <w:rPr>
                <w:rFonts w:ascii="Times New Roman" w:cs="Times New Roman" w:eastAsia="Times New Roman" w:hAnsi="Times New Roman"/>
                <w:sz w:val="16"/>
                <w:szCs w:val="16"/>
                <w:color w:val="auto"/>
              </w:rPr>
              <w:t>stockholders of subsidiaries</w:t>
            </w:r>
          </w:p>
        </w:tc>
        <w:tc>
          <w:tcPr>
            <w:tcW w:w="900" w:type="dxa"/>
            <w:vAlign w:val="bottom"/>
            <w:gridSpan w:val="3"/>
            <w:vMerge w:val="continue"/>
            <w:shd w:val="clear" w:color="auto" w:fill="F8F4F1"/>
          </w:tcPr>
          <w:p>
            <w:pPr>
              <w:spacing w:after="0"/>
              <w:rPr>
                <w:sz w:val="18"/>
                <w:szCs w:val="18"/>
                <w:color w:val="auto"/>
              </w:rPr>
            </w:pPr>
          </w:p>
        </w:tc>
        <w:tc>
          <w:tcPr>
            <w:tcW w:w="20" w:type="dxa"/>
            <w:vAlign w:val="bottom"/>
            <w:shd w:val="clear" w:color="auto" w:fill="F8F4F1"/>
          </w:tcPr>
          <w:p>
            <w:pPr>
              <w:spacing w:after="0"/>
              <w:rPr>
                <w:sz w:val="18"/>
                <w:szCs w:val="18"/>
                <w:color w:val="auto"/>
              </w:rPr>
            </w:pPr>
          </w:p>
        </w:tc>
        <w:tc>
          <w:tcPr>
            <w:tcW w:w="180" w:type="dxa"/>
            <w:vAlign w:val="bottom"/>
            <w:shd w:val="clear" w:color="auto" w:fill="F8F4F1"/>
          </w:tcPr>
          <w:p>
            <w:pPr>
              <w:spacing w:after="0"/>
              <w:rPr>
                <w:sz w:val="18"/>
                <w:szCs w:val="18"/>
                <w:color w:val="auto"/>
              </w:rPr>
            </w:pPr>
          </w:p>
        </w:tc>
        <w:tc>
          <w:tcPr>
            <w:tcW w:w="620" w:type="dxa"/>
            <w:vAlign w:val="bottom"/>
            <w:gridSpan w:val="2"/>
            <w:vMerge w:val="continue"/>
            <w:shd w:val="clear" w:color="auto" w:fill="F8F4F1"/>
          </w:tcPr>
          <w:p>
            <w:pPr>
              <w:spacing w:after="0"/>
              <w:rPr>
                <w:sz w:val="18"/>
                <w:szCs w:val="18"/>
                <w:color w:val="auto"/>
              </w:rPr>
            </w:pPr>
          </w:p>
        </w:tc>
        <w:tc>
          <w:tcPr>
            <w:tcW w:w="1000" w:type="dxa"/>
            <w:vAlign w:val="bottom"/>
            <w:gridSpan w:val="2"/>
            <w:vMerge w:val="continue"/>
            <w:shd w:val="clear" w:color="auto" w:fill="F8F4F1"/>
          </w:tcPr>
          <w:p>
            <w:pPr>
              <w:spacing w:after="0"/>
              <w:rPr>
                <w:sz w:val="18"/>
                <w:szCs w:val="18"/>
                <w:color w:val="auto"/>
              </w:rPr>
            </w:pPr>
          </w:p>
        </w:tc>
        <w:tc>
          <w:tcPr>
            <w:tcW w:w="1000" w:type="dxa"/>
            <w:vAlign w:val="bottom"/>
            <w:vMerge w:val="continue"/>
            <w:shd w:val="clear" w:color="auto" w:fill="F8F4F1"/>
          </w:tcPr>
          <w:p>
            <w:pPr>
              <w:spacing w:after="0"/>
              <w:rPr>
                <w:sz w:val="18"/>
                <w:szCs w:val="18"/>
                <w:color w:val="auto"/>
              </w:rPr>
            </w:pPr>
          </w:p>
        </w:tc>
        <w:tc>
          <w:tcPr>
            <w:tcW w:w="80" w:type="dxa"/>
            <w:vAlign w:val="bottom"/>
            <w:shd w:val="clear" w:color="auto" w:fill="F8F4F1"/>
          </w:tcPr>
          <w:p>
            <w:pPr>
              <w:spacing w:after="0"/>
              <w:rPr>
                <w:sz w:val="18"/>
                <w:szCs w:val="18"/>
                <w:color w:val="auto"/>
              </w:rPr>
            </w:pPr>
          </w:p>
        </w:tc>
        <w:tc>
          <w:tcPr>
            <w:tcW w:w="240" w:type="dxa"/>
            <w:vAlign w:val="bottom"/>
            <w:shd w:val="clear" w:color="auto" w:fill="F8F4F1"/>
          </w:tcPr>
          <w:p>
            <w:pPr>
              <w:spacing w:after="0"/>
              <w:rPr>
                <w:sz w:val="18"/>
                <w:szCs w:val="18"/>
                <w:color w:val="auto"/>
              </w:rPr>
            </w:pPr>
          </w:p>
        </w:tc>
        <w:tc>
          <w:tcPr>
            <w:tcW w:w="960" w:type="dxa"/>
            <w:vAlign w:val="bottom"/>
            <w:gridSpan w:val="2"/>
            <w:vMerge w:val="continue"/>
            <w:shd w:val="clear" w:color="auto" w:fill="F8F4F1"/>
          </w:tcPr>
          <w:p>
            <w:pPr>
              <w:spacing w:after="0"/>
              <w:rPr>
                <w:sz w:val="18"/>
                <w:szCs w:val="18"/>
                <w:color w:val="auto"/>
              </w:rPr>
            </w:pPr>
          </w:p>
        </w:tc>
        <w:tc>
          <w:tcPr>
            <w:tcW w:w="160" w:type="dxa"/>
            <w:vAlign w:val="bottom"/>
            <w:shd w:val="clear" w:color="auto" w:fill="F8F4F1"/>
          </w:tcPr>
          <w:p>
            <w:pPr>
              <w:spacing w:after="0"/>
              <w:rPr>
                <w:sz w:val="18"/>
                <w:szCs w:val="18"/>
                <w:color w:val="auto"/>
              </w:rPr>
            </w:pPr>
          </w:p>
        </w:tc>
        <w:tc>
          <w:tcPr>
            <w:tcW w:w="800" w:type="dxa"/>
            <w:vAlign w:val="bottom"/>
            <w:vMerge w:val="continue"/>
            <w:shd w:val="clear" w:color="auto" w:fill="F8F4F1"/>
          </w:tcPr>
          <w:p>
            <w:pPr>
              <w:spacing w:after="0"/>
              <w:rPr>
                <w:sz w:val="18"/>
                <w:szCs w:val="18"/>
                <w:color w:val="auto"/>
              </w:rPr>
            </w:pPr>
          </w:p>
        </w:tc>
        <w:tc>
          <w:tcPr>
            <w:tcW w:w="80" w:type="dxa"/>
            <w:vAlign w:val="bottom"/>
            <w:shd w:val="clear" w:color="auto" w:fill="F8F4F1"/>
          </w:tcPr>
          <w:p>
            <w:pPr>
              <w:spacing w:after="0"/>
              <w:rPr>
                <w:sz w:val="18"/>
                <w:szCs w:val="18"/>
                <w:color w:val="auto"/>
              </w:rPr>
            </w:pPr>
          </w:p>
        </w:tc>
        <w:tc>
          <w:tcPr>
            <w:tcW w:w="180" w:type="dxa"/>
            <w:vAlign w:val="bottom"/>
            <w:shd w:val="clear" w:color="auto" w:fill="F8F4F1"/>
          </w:tcPr>
          <w:p>
            <w:pPr>
              <w:spacing w:after="0"/>
              <w:rPr>
                <w:sz w:val="18"/>
                <w:szCs w:val="18"/>
                <w:color w:val="auto"/>
              </w:rPr>
            </w:pPr>
          </w:p>
        </w:tc>
        <w:tc>
          <w:tcPr>
            <w:tcW w:w="860" w:type="dxa"/>
            <w:vAlign w:val="bottom"/>
            <w:vMerge w:val="continue"/>
            <w:shd w:val="clear" w:color="auto" w:fill="F8F4F1"/>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Shares issued and amortized pursuant to equity incentive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tcPr>
          <w:p>
            <w:pPr>
              <w:spacing w:after="0"/>
              <w:rPr>
                <w:sz w:val="15"/>
                <w:szCs w:val="15"/>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plan, net of tax</w:t>
            </w: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Net income applicable to noncontrolling interest</w:t>
            </w:r>
          </w:p>
        </w:tc>
        <w:tc>
          <w:tcPr>
            <w:tcW w:w="900" w:type="dxa"/>
            <w:vAlign w:val="bottom"/>
            <w:gridSpan w:val="3"/>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62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F8F4F1"/>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F8F4F1"/>
          </w:tcPr>
          <w:p>
            <w:pPr>
              <w:spacing w:after="0"/>
              <w:rPr>
                <w:sz w:val="21"/>
                <w:szCs w:val="21"/>
                <w:color w:val="auto"/>
              </w:rPr>
            </w:pPr>
          </w:p>
        </w:tc>
        <w:tc>
          <w:tcPr>
            <w:tcW w:w="96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loss applicable to Piedmont</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0" w:type="dxa"/>
            <w:vAlign w:val="bottom"/>
          </w:tcPr>
          <w:p>
            <w:pPr>
              <w:spacing w:after="0"/>
              <w:rPr>
                <w:sz w:val="1"/>
                <w:szCs w:val="1"/>
                <w:color w:val="auto"/>
              </w:rPr>
            </w:pPr>
          </w:p>
        </w:tc>
      </w:tr>
      <w:tr>
        <w:trPr>
          <w:trHeight w:val="243"/>
        </w:trPr>
        <w:tc>
          <w:tcPr>
            <w:tcW w:w="414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Borders>
              <w:bottom w:val="single" w:sz="8" w:color="auto"/>
            </w:tcBorders>
            <w:shd w:val="clear" w:color="auto" w:fill="F8F4F1"/>
          </w:tcPr>
          <w:p>
            <w:pPr>
              <w:spacing w:after="0"/>
              <w:rPr>
                <w:sz w:val="21"/>
                <w:szCs w:val="21"/>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F8F4F1"/>
          </w:tcPr>
          <w:p>
            <w:pPr>
              <w:spacing w:after="0"/>
              <w:rPr>
                <w:sz w:val="21"/>
                <w:szCs w:val="21"/>
                <w:color w:val="auto"/>
              </w:rPr>
            </w:pPr>
          </w:p>
        </w:tc>
        <w:tc>
          <w:tcPr>
            <w:tcW w:w="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5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8F4F1"/>
          </w:tcPr>
          <w:p>
            <w:pPr>
              <w:spacing w:after="0"/>
              <w:rPr>
                <w:sz w:val="21"/>
                <w:szCs w:val="21"/>
                <w:color w:val="auto"/>
              </w:rPr>
            </w:pPr>
          </w:p>
        </w:tc>
        <w:tc>
          <w:tcPr>
            <w:tcW w:w="9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8F4F1"/>
          </w:tcPr>
          <w:p>
            <w:pPr>
              <w:spacing w:after="0"/>
              <w:rPr>
                <w:sz w:val="21"/>
                <w:szCs w:val="21"/>
                <w:color w:val="auto"/>
              </w:rPr>
            </w:pPr>
          </w:p>
        </w:tc>
        <w:tc>
          <w:tcPr>
            <w:tcW w:w="1000" w:type="dxa"/>
            <w:vAlign w:val="bottom"/>
            <w:tcBorders>
              <w:bottom w:val="single" w:sz="8" w:color="auto"/>
            </w:tcBorders>
            <w:shd w:val="clear" w:color="auto" w:fill="F8F4F1"/>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8F4F1"/>
          </w:tcPr>
          <w:p>
            <w:pPr>
              <w:spacing w:after="0"/>
              <w:rPr>
                <w:sz w:val="21"/>
                <w:szCs w:val="21"/>
                <w:color w:val="auto"/>
              </w:rPr>
            </w:pPr>
          </w:p>
        </w:tc>
        <w:tc>
          <w:tcPr>
            <w:tcW w:w="240" w:type="dxa"/>
            <w:vAlign w:val="bottom"/>
            <w:tcBorders>
              <w:bottom w:val="single" w:sz="8" w:color="auto"/>
            </w:tcBorders>
            <w:shd w:val="clear" w:color="auto" w:fill="F8F4F1"/>
          </w:tcPr>
          <w:p>
            <w:pPr>
              <w:spacing w:after="0"/>
              <w:rPr>
                <w:sz w:val="21"/>
                <w:szCs w:val="21"/>
                <w:color w:val="auto"/>
              </w:rPr>
            </w:pPr>
          </w:p>
        </w:tc>
        <w:tc>
          <w:tcPr>
            <w:tcW w:w="8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F8F4F1"/>
          </w:tcPr>
          <w:p>
            <w:pPr>
              <w:spacing w:after="0"/>
              <w:rPr>
                <w:sz w:val="21"/>
                <w:szCs w:val="21"/>
                <w:color w:val="auto"/>
              </w:rPr>
            </w:pPr>
          </w:p>
        </w:tc>
        <w:tc>
          <w:tcPr>
            <w:tcW w:w="160" w:type="dxa"/>
            <w:vAlign w:val="bottom"/>
            <w:tcBorders>
              <w:bottom w:val="single" w:sz="8" w:color="auto"/>
            </w:tcBorders>
            <w:shd w:val="clear" w:color="auto" w:fill="F8F4F1"/>
          </w:tcPr>
          <w:p>
            <w:pPr>
              <w:spacing w:after="0"/>
              <w:rPr>
                <w:sz w:val="21"/>
                <w:szCs w:val="21"/>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8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3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3,727,914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(2,184,104)</w:t>
            </w:r>
          </w:p>
        </w:tc>
        <w:tc>
          <w:tcPr>
            <w:tcW w:w="8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1,537,047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PIEDMONT REALTY TRUST,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F8F4F1"/>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(45,036)</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(40,361)</w:t>
            </w:r>
          </w:p>
        </w:tc>
        <w:tc>
          <w:tcPr>
            <w:tcW w:w="0" w:type="dxa"/>
            <w:vAlign w:val="bottom"/>
          </w:tcPr>
          <w:p>
            <w:pPr>
              <w:spacing w:after="0"/>
              <w:rPr>
                <w:sz w:val="1"/>
                <w:szCs w:val="1"/>
                <w:color w:val="auto"/>
              </w:rPr>
            </w:pPr>
          </w:p>
        </w:tc>
      </w:tr>
      <w:tr>
        <w:trPr>
          <w:trHeight w:val="227"/>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860" w:type="dxa"/>
            <w:vAlign w:val="bottom"/>
            <w:shd w:val="clear" w:color="auto" w:fill="F8F4F1"/>
          </w:tcPr>
          <w:p>
            <w:pPr>
              <w:ind w:left="66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134,975</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123,666</w:t>
            </w:r>
          </w:p>
        </w:tc>
        <w:tc>
          <w:tcPr>
            <w:tcW w:w="0" w:type="dxa"/>
            <w:vAlign w:val="bottom"/>
          </w:tcPr>
          <w:p>
            <w:pPr>
              <w:spacing w:after="0"/>
              <w:rPr>
                <w:sz w:val="1"/>
                <w:szCs w:val="1"/>
                <w:color w:val="auto"/>
              </w:rPr>
            </w:pPr>
          </w:p>
        </w:tc>
      </w:tr>
      <w:tr>
        <w:trPr>
          <w:trHeight w:val="227"/>
        </w:trPr>
        <w:tc>
          <w:tcPr>
            <w:tcW w:w="8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 inclusive of settled interest rate swaps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660"/>
              <w:spacing w:after="0"/>
              <w:rPr>
                <w:sz w:val="20"/>
                <w:szCs w:val="20"/>
                <w:color w:val="auto"/>
              </w:rPr>
            </w:pPr>
            <w:r>
              <w:rPr>
                <w:rFonts w:ascii="Times New Roman" w:cs="Times New Roman" w:eastAsia="Times New Roman" w:hAnsi="Times New Roman"/>
                <w:sz w:val="16"/>
                <w:szCs w:val="16"/>
                <w:color w:val="auto"/>
              </w:rPr>
              <w:t>Other amortization</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45,802</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42,661</w:t>
            </w:r>
          </w:p>
        </w:tc>
        <w:tc>
          <w:tcPr>
            <w:tcW w:w="0" w:type="dxa"/>
            <w:vAlign w:val="bottom"/>
          </w:tcPr>
          <w:p>
            <w:pPr>
              <w:spacing w:after="0"/>
              <w:rPr>
                <w:sz w:val="1"/>
                <w:szCs w:val="1"/>
                <w:color w:val="auto"/>
              </w:rPr>
            </w:pPr>
          </w:p>
        </w:tc>
      </w:tr>
      <w:tr>
        <w:trPr>
          <w:trHeight w:val="226"/>
        </w:trPr>
        <w:tc>
          <w:tcPr>
            <w:tcW w:w="8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6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7,163</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27"/>
        </w:trPr>
        <w:tc>
          <w:tcPr>
            <w:tcW w:w="8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Gain on sale of real estate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32"/>
        </w:trPr>
        <w:tc>
          <w:tcPr>
            <w:tcW w:w="8860" w:type="dxa"/>
            <w:vAlign w:val="bottom"/>
            <w:shd w:val="clear" w:color="auto" w:fill="F8F4F1"/>
          </w:tcPr>
          <w:p>
            <w:pPr>
              <w:ind w:left="6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spacing w:after="0"/>
              <w:rPr>
                <w:sz w:val="20"/>
                <w:szCs w:val="20"/>
                <w:color w:val="auto"/>
              </w:rPr>
            </w:pP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86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Increase in tenant and straight-line rent receivables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(20,437)</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1100"/>
              <w:spacing w:after="0"/>
              <w:rPr>
                <w:sz w:val="20"/>
                <w:szCs w:val="20"/>
                <w:color w:val="auto"/>
              </w:rPr>
            </w:pPr>
            <w:r>
              <w:rPr>
                <w:rFonts w:ascii="Times New Roman" w:cs="Times New Roman" w:eastAsia="Times New Roman" w:hAnsi="Times New Roman"/>
                <w:sz w:val="16"/>
                <w:szCs w:val="16"/>
                <w:color w:val="auto"/>
              </w:rPr>
              <w:t>Increase in prepaid expenses and other assets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(4,472)</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r>
        <w:trPr>
          <w:trHeight w:val="227"/>
        </w:trPr>
        <w:tc>
          <w:tcPr>
            <w:tcW w:w="886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Decrease in accounts payable and accrued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(17,916)</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1100"/>
              <w:spacing w:after="0"/>
              <w:rPr>
                <w:sz w:val="20"/>
                <w:szCs w:val="20"/>
                <w:color w:val="auto"/>
              </w:rPr>
            </w:pPr>
            <w:r>
              <w:rPr>
                <w:rFonts w:ascii="Times New Roman" w:cs="Times New Roman" w:eastAsia="Times New Roman" w:hAnsi="Times New Roman"/>
                <w:sz w:val="16"/>
                <w:szCs w:val="16"/>
                <w:color w:val="auto"/>
              </w:rPr>
              <w:t>Decrease in deferred income</w:t>
            </w:r>
          </w:p>
        </w:tc>
        <w:tc>
          <w:tcPr>
            <w:tcW w:w="260" w:type="dxa"/>
            <w:vAlign w:val="bottom"/>
            <w:tcBorders>
              <w:bottom w:val="single" w:sz="8" w:color="auto"/>
            </w:tcBorders>
            <w:shd w:val="clear" w:color="auto" w:fill="F8F4F1"/>
          </w:tcPr>
          <w:p>
            <w:pPr>
              <w:spacing w:after="0"/>
              <w:rPr>
                <w:sz w:val="20"/>
                <w:szCs w:val="20"/>
                <w:color w:val="auto"/>
              </w:rPr>
            </w:pPr>
          </w:p>
        </w:tc>
        <w:tc>
          <w:tcPr>
            <w:tcW w:w="8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(13,945)</w:t>
            </w:r>
          </w:p>
        </w:tc>
        <w:tc>
          <w:tcPr>
            <w:tcW w:w="10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(14,167)</w:t>
            </w:r>
          </w:p>
        </w:tc>
        <w:tc>
          <w:tcPr>
            <w:tcW w:w="0" w:type="dxa"/>
            <w:vAlign w:val="bottom"/>
          </w:tcPr>
          <w:p>
            <w:pPr>
              <w:spacing w:after="0"/>
              <w:rPr>
                <w:sz w:val="1"/>
                <w:szCs w:val="1"/>
                <w:color w:val="auto"/>
              </w:rPr>
            </w:pPr>
          </w:p>
        </w:tc>
      </w:tr>
      <w:tr>
        <w:trPr>
          <w:trHeight w:val="220"/>
        </w:trPr>
        <w:tc>
          <w:tcPr>
            <w:tcW w:w="88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116,877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89,628</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spacing w:after="0"/>
              <w:rPr>
                <w:sz w:val="20"/>
                <w:szCs w:val="20"/>
                <w:color w:val="auto"/>
              </w:rPr>
            </w:pP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 and intangibles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Capitalized expenditures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(118,008)</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(115,813)</w:t>
            </w:r>
          </w:p>
        </w:tc>
        <w:tc>
          <w:tcPr>
            <w:tcW w:w="0" w:type="dxa"/>
            <w:vAlign w:val="bottom"/>
          </w:tcPr>
          <w:p>
            <w:pPr>
              <w:spacing w:after="0"/>
              <w:rPr>
                <w:sz w:val="1"/>
                <w:szCs w:val="1"/>
                <w:color w:val="auto"/>
              </w:rPr>
            </w:pPr>
          </w:p>
        </w:tc>
      </w:tr>
      <w:tr>
        <w:trPr>
          <w:trHeight w:val="227"/>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proceeds from wholly-owned properties and land parcel</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31,351</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Deferred lease costs paid</w:t>
            </w:r>
          </w:p>
        </w:tc>
        <w:tc>
          <w:tcPr>
            <w:tcW w:w="260" w:type="dxa"/>
            <w:vAlign w:val="bottom"/>
            <w:tcBorders>
              <w:bottom w:val="single" w:sz="8" w:color="auto"/>
            </w:tcBorders>
            <w:shd w:val="clear" w:color="auto" w:fill="F8F4F1"/>
          </w:tcPr>
          <w:p>
            <w:pPr>
              <w:spacing w:after="0"/>
              <w:rPr>
                <w:sz w:val="20"/>
                <w:szCs w:val="20"/>
                <w:color w:val="auto"/>
              </w:rPr>
            </w:pPr>
          </w:p>
        </w:tc>
        <w:tc>
          <w:tcPr>
            <w:tcW w:w="8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(32,775)</w:t>
            </w:r>
          </w:p>
        </w:tc>
        <w:tc>
          <w:tcPr>
            <w:tcW w:w="10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(35,723)</w:t>
            </w:r>
          </w:p>
        </w:tc>
        <w:tc>
          <w:tcPr>
            <w:tcW w:w="0" w:type="dxa"/>
            <w:vAlign w:val="bottom"/>
          </w:tcPr>
          <w:p>
            <w:pPr>
              <w:spacing w:after="0"/>
              <w:rPr>
                <w:sz w:val="1"/>
                <w:szCs w:val="1"/>
                <w:color w:val="auto"/>
              </w:rPr>
            </w:pPr>
          </w:p>
        </w:tc>
      </w:tr>
      <w:tr>
        <w:trPr>
          <w:trHeight w:val="220"/>
        </w:trPr>
        <w:tc>
          <w:tcPr>
            <w:tcW w:w="88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(191,784)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(120,185)</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spacing w:after="0"/>
              <w:rPr>
                <w:sz w:val="20"/>
                <w:szCs w:val="20"/>
                <w:color w:val="auto"/>
              </w:rPr>
            </w:pP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 issuance and other costs paid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Proceeds from debt</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670,250</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553,087</w:t>
            </w:r>
          </w:p>
        </w:tc>
        <w:tc>
          <w:tcPr>
            <w:tcW w:w="0" w:type="dxa"/>
            <w:vAlign w:val="bottom"/>
          </w:tcPr>
          <w:p>
            <w:pPr>
              <w:spacing w:after="0"/>
              <w:rPr>
                <w:sz w:val="1"/>
                <w:szCs w:val="1"/>
                <w:color w:val="auto"/>
              </w:rPr>
            </w:pPr>
          </w:p>
        </w:tc>
      </w:tr>
      <w:tr>
        <w:trPr>
          <w:trHeight w:val="227"/>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(559,057)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(587,227)</w:t>
            </w:r>
          </w:p>
        </w:tc>
        <w:tc>
          <w:tcPr>
            <w:tcW w:w="0" w:type="dxa"/>
            <w:vAlign w:val="bottom"/>
          </w:tcPr>
          <w:p>
            <w:pPr>
              <w:spacing w:after="0"/>
              <w:rPr>
                <w:sz w:val="1"/>
                <w:szCs w:val="1"/>
                <w:color w:val="auto"/>
              </w:rPr>
            </w:pPr>
          </w:p>
        </w:tc>
      </w:tr>
      <w:tr>
        <w:trPr>
          <w:trHeight w:val="232"/>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Premiums paid to repurchase senior notes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(19,199)</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0" w:type="dxa"/>
            <w:vAlign w:val="bottom"/>
          </w:tcPr>
          <w:p>
            <w:pPr>
              <w:spacing w:after="0"/>
              <w:rPr>
                <w:sz w:val="1"/>
                <w:szCs w:val="1"/>
                <w:color w:val="auto"/>
              </w:rPr>
            </w:pPr>
          </w:p>
        </w:tc>
      </w:tr>
      <w:tr>
        <w:trPr>
          <w:trHeight w:val="226"/>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issued under ATM program</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Costs of issuance of common stock</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(875)</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26"/>
        </w:trPr>
        <w:tc>
          <w:tcPr>
            <w:tcW w:w="8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Value of shares withheld for payment of taxes related to employee stock compensation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6"/>
                <w:szCs w:val="16"/>
                <w:color w:val="auto"/>
              </w:rPr>
              <w:t>Share repurchases</w:t>
            </w:r>
          </w:p>
        </w:tc>
        <w:tc>
          <w:tcPr>
            <w:tcW w:w="260" w:type="dxa"/>
            <w:vAlign w:val="bottom"/>
            <w:shd w:val="clear" w:color="auto" w:fill="F8F4F1"/>
          </w:tcPr>
          <w:p>
            <w:pPr>
              <w:spacing w:after="0"/>
              <w:rPr>
                <w:sz w:val="20"/>
                <w:szCs w:val="20"/>
                <w:color w:val="auto"/>
              </w:rPr>
            </w:pPr>
          </w:p>
        </w:tc>
        <w:tc>
          <w:tcPr>
            <w:tcW w:w="8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(50,000)</w:t>
            </w:r>
          </w:p>
        </w:tc>
        <w:tc>
          <w:tcPr>
            <w:tcW w:w="100" w:type="dxa"/>
            <w:vAlign w:val="bottom"/>
            <w:shd w:val="clear" w:color="auto" w:fill="F8F4F1"/>
          </w:tcPr>
          <w:p>
            <w:pPr>
              <w:spacing w:after="0"/>
              <w:rPr>
                <w:sz w:val="20"/>
                <w:szCs w:val="20"/>
                <w:color w:val="auto"/>
              </w:rPr>
            </w:pPr>
          </w:p>
        </w:tc>
        <w:tc>
          <w:tcPr>
            <w:tcW w:w="400" w:type="dxa"/>
            <w:vAlign w:val="bottom"/>
            <w:shd w:val="clear" w:color="auto" w:fill="F8F4F1"/>
          </w:tcPr>
          <w:p>
            <w:pPr>
              <w:spacing w:after="0"/>
              <w:rPr>
                <w:sz w:val="20"/>
                <w:szCs w:val="20"/>
                <w:color w:val="auto"/>
              </w:rPr>
            </w:pPr>
          </w:p>
        </w:tc>
        <w:tc>
          <w:tcPr>
            <w:tcW w:w="7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8860" w:type="dxa"/>
            <w:vAlign w:val="bottom"/>
            <w:tcBorders>
              <w:bottom w:val="single" w:sz="8" w:color="F8F4F1"/>
            </w:tcBorders>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tcBorders>
              <w:bottom w:val="single" w:sz="8" w:color="F8F4F1"/>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(30,861)</w:t>
            </w:r>
          </w:p>
        </w:tc>
        <w:tc>
          <w:tcPr>
            <w:tcW w:w="0" w:type="dxa"/>
            <w:vAlign w:val="bottom"/>
          </w:tcPr>
          <w:p>
            <w:pPr>
              <w:spacing w:after="0"/>
              <w:rPr>
                <w:sz w:val="1"/>
                <w:szCs w:val="1"/>
                <w:color w:val="auto"/>
              </w:rPr>
            </w:pPr>
          </w:p>
        </w:tc>
      </w:tr>
      <w:tr>
        <w:trPr>
          <w:trHeight w:val="226"/>
        </w:trPr>
        <w:tc>
          <w:tcPr>
            <w:tcW w:w="8860" w:type="dxa"/>
            <w:vAlign w:val="bottom"/>
            <w:shd w:val="clear" w:color="auto" w:fill="F8F4F1"/>
          </w:tcPr>
          <w:p>
            <w:pPr>
              <w:ind w:left="1420"/>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260" w:type="dxa"/>
            <w:vAlign w:val="bottom"/>
            <w:tcBorders>
              <w:bottom w:val="single" w:sz="8" w:color="auto"/>
            </w:tcBorders>
            <w:shd w:val="clear" w:color="auto" w:fill="F8F4F1"/>
          </w:tcPr>
          <w:p>
            <w:pPr>
              <w:spacing w:after="0"/>
              <w:rPr>
                <w:sz w:val="19"/>
                <w:szCs w:val="19"/>
                <w:color w:val="auto"/>
              </w:rPr>
            </w:pPr>
          </w:p>
        </w:tc>
        <w:tc>
          <w:tcPr>
            <w:tcW w:w="8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77,596</w:t>
            </w:r>
          </w:p>
        </w:tc>
        <w:tc>
          <w:tcPr>
            <w:tcW w:w="100" w:type="dxa"/>
            <w:vAlign w:val="bottom"/>
            <w:shd w:val="clear" w:color="auto" w:fill="F8F4F1"/>
          </w:tcPr>
          <w:p>
            <w:pPr>
              <w:spacing w:after="0"/>
              <w:rPr>
                <w:sz w:val="19"/>
                <w:szCs w:val="19"/>
                <w:color w:val="auto"/>
              </w:rPr>
            </w:pPr>
          </w:p>
        </w:tc>
        <w:tc>
          <w:tcPr>
            <w:tcW w:w="400" w:type="dxa"/>
            <w:vAlign w:val="bottom"/>
            <w:tcBorders>
              <w:bottom w:val="single" w:sz="8" w:color="auto"/>
            </w:tcBorders>
            <w:shd w:val="clear" w:color="auto" w:fill="F8F4F1"/>
          </w:tcPr>
          <w:p>
            <w:pPr>
              <w:spacing w:after="0"/>
              <w:rPr>
                <w:sz w:val="19"/>
                <w:szCs w:val="19"/>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(75,190)</w:t>
            </w:r>
          </w:p>
        </w:tc>
        <w:tc>
          <w:tcPr>
            <w:tcW w:w="0" w:type="dxa"/>
            <w:vAlign w:val="bottom"/>
          </w:tcPr>
          <w:p>
            <w:pPr>
              <w:spacing w:after="0"/>
              <w:rPr>
                <w:sz w:val="1"/>
                <w:szCs w:val="1"/>
                <w:color w:val="auto"/>
              </w:rPr>
            </w:pPr>
          </w:p>
        </w:tc>
      </w:tr>
      <w:tr>
        <w:trPr>
          <w:trHeight w:val="220"/>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increase/(decrease) in cash, cash equivalents, and restricted cash and escrows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(105,747)</w:t>
            </w:r>
          </w:p>
        </w:tc>
        <w:tc>
          <w:tcPr>
            <w:tcW w:w="0" w:type="dxa"/>
            <w:vAlign w:val="bottom"/>
          </w:tcPr>
          <w:p>
            <w:pPr>
              <w:spacing w:after="0"/>
              <w:rPr>
                <w:sz w:val="1"/>
                <w:szCs w:val="1"/>
                <w:color w:val="auto"/>
              </w:rPr>
            </w:pPr>
          </w:p>
        </w:tc>
      </w:tr>
      <w:tr>
        <w:trPr>
          <w:trHeight w:val="233"/>
        </w:trPr>
        <w:tc>
          <w:tcPr>
            <w:tcW w:w="88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escrows, beginning of period</w:t>
            </w:r>
          </w:p>
        </w:tc>
        <w:tc>
          <w:tcPr>
            <w:tcW w:w="260" w:type="dxa"/>
            <w:vAlign w:val="bottom"/>
            <w:tcBorders>
              <w:bottom w:val="single" w:sz="8" w:color="auto"/>
            </w:tcBorders>
            <w:shd w:val="clear" w:color="auto" w:fill="F8F4F1"/>
          </w:tcPr>
          <w:p>
            <w:pPr>
              <w:spacing w:after="0"/>
              <w:rPr>
                <w:sz w:val="20"/>
                <w:szCs w:val="20"/>
                <w:color w:val="auto"/>
              </w:rPr>
            </w:pPr>
          </w:p>
        </w:tc>
        <w:tc>
          <w:tcPr>
            <w:tcW w:w="8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b w:val="1"/>
                <w:bCs w:val="1"/>
                <w:color w:val="auto"/>
              </w:rPr>
              <w:t>3,791</w:t>
            </w:r>
          </w:p>
        </w:tc>
        <w:tc>
          <w:tcPr>
            <w:tcW w:w="10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6"/>
                <w:szCs w:val="16"/>
                <w:color w:val="auto"/>
              </w:rPr>
              <w:t>113,882</w:t>
            </w:r>
          </w:p>
        </w:tc>
        <w:tc>
          <w:tcPr>
            <w:tcW w:w="0" w:type="dxa"/>
            <w:vAlign w:val="bottom"/>
          </w:tcPr>
          <w:p>
            <w:pPr>
              <w:spacing w:after="0"/>
              <w:rPr>
                <w:sz w:val="1"/>
                <w:szCs w:val="1"/>
                <w:color w:val="auto"/>
              </w:rPr>
            </w:pPr>
          </w:p>
        </w:tc>
      </w:tr>
      <w:tr>
        <w:trPr>
          <w:trHeight w:val="220"/>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escrows,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0" w:type="dxa"/>
            <w:vAlign w:val="bottom"/>
          </w:tcPr>
          <w:p>
            <w:pPr>
              <w:spacing w:after="0"/>
              <w:rPr>
                <w:sz w:val="1"/>
                <w:szCs w:val="1"/>
                <w:color w:val="auto"/>
              </w:rPr>
            </w:pPr>
          </w:p>
        </w:tc>
      </w:tr>
      <w:tr>
        <w:trPr>
          <w:trHeight w:val="23"/>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Piedmont Realty Trust, Inc. (“Piedmont”) (NYSE: PDM) is a Maryland corporation that operates in a manner so as to qualify as a real estate investment trust (“REIT”) for federal income tax purposes and engages in the ownership, management, development, redevelopment, and operation of high-quality, Class A office properties located primarily in major U.S. Sunbelt markets. Piedmont was incorporated in 1997 and commenced operations in 1998. Piedmont conducts business through its wholly-owned subsidiary, Piedmont Operating Partnership, LP (“Piedmont OP”), a Delaware limited partnership. Piedmont OP owns properties directly, through wholly-owned subsidiaries, and through various joint ventures which it controls. References to Piedmont herein shall include Piedmont and all of its subsidiaries, including Piedmont OP and its subsidiaries and joint ventures.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Piedmont owned and operated a portfolio comprised of 30 in-service projects and two redevelopment projects. The in-service office projects total approximately 15.3 million square feet (unaudited) of primarily Class A office space and were 87.7% leased as of September 30, 2026.</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Piedmont are prepared in accordance with the rules and regulations of the Securities and Exchange Commission (the “SEC”), including the instructions to Form 10-Q and Article 10 of Regulation S-X, and do not include all of the information and footnotes required by GAAP for complete financial statements. In the opinion of management, the statements for the unaudited interim periods presented include all adjustments, which are of a normal and recurring nature, necessary for a fair presentation of the results for such periods. Results for these interim periods are not necessarily indicative of a full year’s results.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Piedmont’s consolidated financial statements include the accounts of Piedmont, Piedmont’s wholly-owned subsidiaries, any variable interest entity ("VIE") of which Piedmont or any of its wholly-owned subsidiaries is considered to have the power to direct the activities of the entity and the obligation to absorb losses/right to receive benefits, or any entity in which Piedmont or any of its wholly-owned subsidiaries owns a controlling interest. In determining whether Piedmont or Piedmont OP has a controlling interest, the following factors, among others, are considered: equity ownership, voting rights, protective rights of investors, and participatory rights of investors. For further information, refer to the financial statements and footnotes included in Piedmont’s Annual Report on Form 10-K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upon consolidation.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Piedmont has formed special purpose entities to acquire and hold real estate. Each special purpose entity is a separate legal entity. Consequently, the assets of these special purpose entities are not available to all creditors of Piedmont. The assets owned by these special purpose entities are being reported on a consolidated basis with Piedmont’s assets for financial reporting purposes only.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that affect the amounts reported in the accompanying consolidated financial statements and notes. The most significant of these estimates include the underlying cash flows and holding periods used in assessing impairment, judgments regarding the recoverability of goodwill, and the assessment of the collectability of receivables. While Piedmont has made what it believes to be appropriate accounting estimates based on the facts and circumstances available as of the reporting date,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Piedmont has elected to be taxed as a REIT under the Internal Revenue Code of 1986, as amended, and has operated as such, beginning with its taxable year ended December 31, 1998. To qualify as a REIT, Piedmont must meet certain organizational and operational requirements, including a requirement to distribute at least 90% of its annual REIT taxable income. As a REIT, Piedmont is generally not subject to federal income taxes, subject to fulfilling, among other things, its taxable income distribution requirement. Piedmont is subject to certain taxes related to the operations of projects in certain locations, as well as operations conducted by its taxable REIT subsidiary which have been provided for in the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Piedmont recognized the following fixed and variable lease payments, which together comprised rental and tenant reimbursement revenue in the accompanying consolidated statements of operations for the three and nine months ended September 30, 2026 and 2025, respectively,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00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4"/>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40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2"/>
                <w:szCs w:val="12"/>
                <w:color w:val="auto"/>
              </w:rPr>
            </w:pPr>
          </w:p>
        </w:tc>
        <w:tc>
          <w:tcPr>
            <w:tcW w:w="1380" w:type="dxa"/>
            <w:vAlign w:val="bottom"/>
          </w:tcPr>
          <w:p>
            <w:pPr>
              <w:jc w:val="right"/>
              <w:ind w:right="277"/>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700" w:type="dxa"/>
            <w:vAlign w:val="bottom"/>
            <w:tcBorders>
              <w:bottom w:val="single" w:sz="8" w:color="F8F4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F8F4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F8F4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F8F4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2"/>
        </w:trPr>
        <w:tc>
          <w:tcPr>
            <w:tcW w:w="47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Fixed payments</w:t>
            </w:r>
          </w:p>
        </w:tc>
        <w:tc>
          <w:tcPr>
            <w:tcW w:w="22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118,956</w:t>
            </w:r>
          </w:p>
        </w:tc>
        <w:tc>
          <w:tcPr>
            <w:tcW w:w="100" w:type="dxa"/>
            <w:vAlign w:val="bottom"/>
            <w:shd w:val="clear" w:color="auto" w:fill="F8F4F1"/>
          </w:tcPr>
          <w:p>
            <w:pPr>
              <w:spacing w:after="0"/>
              <w:rPr>
                <w:sz w:val="21"/>
                <w:szCs w:val="21"/>
                <w:color w:val="auto"/>
              </w:rPr>
            </w:pPr>
          </w:p>
        </w:tc>
        <w:tc>
          <w:tcPr>
            <w:tcW w:w="22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110,748</w:t>
            </w:r>
          </w:p>
        </w:tc>
        <w:tc>
          <w:tcPr>
            <w:tcW w:w="160" w:type="dxa"/>
            <w:vAlign w:val="bottom"/>
            <w:shd w:val="clear" w:color="auto" w:fill="F8F4F1"/>
          </w:tcPr>
          <w:p>
            <w:pPr>
              <w:spacing w:after="0"/>
              <w:rPr>
                <w:sz w:val="21"/>
                <w:szCs w:val="21"/>
                <w:color w:val="auto"/>
              </w:rPr>
            </w:pPr>
          </w:p>
        </w:tc>
        <w:tc>
          <w:tcPr>
            <w:tcW w:w="22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347,724</w:t>
            </w:r>
          </w:p>
        </w:tc>
        <w:tc>
          <w:tcPr>
            <w:tcW w:w="120" w:type="dxa"/>
            <w:vAlign w:val="bottom"/>
            <w:shd w:val="clear" w:color="auto" w:fill="F8F4F1"/>
          </w:tcPr>
          <w:p>
            <w:pPr>
              <w:spacing w:after="0"/>
              <w:rPr>
                <w:sz w:val="21"/>
                <w:szCs w:val="21"/>
                <w:color w:val="auto"/>
              </w:rPr>
            </w:pPr>
          </w:p>
        </w:tc>
        <w:tc>
          <w:tcPr>
            <w:tcW w:w="2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333,654</w:t>
            </w:r>
          </w:p>
        </w:tc>
      </w:tr>
      <w:tr>
        <w:trPr>
          <w:trHeight w:val="243"/>
        </w:trPr>
        <w:tc>
          <w:tcPr>
            <w:tcW w:w="4700" w:type="dxa"/>
            <w:vAlign w:val="bottom"/>
            <w:tcBorders>
              <w:bottom w:val="single" w:sz="8" w:color="F8F4F1"/>
            </w:tcBorders>
          </w:tcPr>
          <w:p>
            <w:pPr>
              <w:ind w:left="20"/>
              <w:spacing w:after="0"/>
              <w:rPr>
                <w:sz w:val="20"/>
                <w:szCs w:val="20"/>
                <w:color w:val="auto"/>
              </w:rPr>
            </w:pPr>
            <w:r>
              <w:rPr>
                <w:rFonts w:ascii="Times New Roman" w:cs="Times New Roman" w:eastAsia="Times New Roman" w:hAnsi="Times New Roman"/>
                <w:sz w:val="18"/>
                <w:szCs w:val="18"/>
                <w:color w:val="auto"/>
              </w:rPr>
              <w:t>Variable payments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25,208</w:t>
            </w:r>
          </w:p>
        </w:tc>
        <w:tc>
          <w:tcPr>
            <w:tcW w:w="100" w:type="dxa"/>
            <w:vAlign w:val="bottom"/>
            <w:tcBorders>
              <w:bottom w:val="single" w:sz="8" w:color="F8F4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22,282</w:t>
            </w:r>
          </w:p>
        </w:tc>
        <w:tc>
          <w:tcPr>
            <w:tcW w:w="160" w:type="dxa"/>
            <w:vAlign w:val="bottom"/>
            <w:tcBorders>
              <w:bottom w:val="single" w:sz="8" w:color="F8F4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70,146</w:t>
            </w:r>
          </w:p>
        </w:tc>
        <w:tc>
          <w:tcPr>
            <w:tcW w:w="120" w:type="dxa"/>
            <w:vAlign w:val="bottom"/>
            <w:tcBorders>
              <w:bottom w:val="single" w:sz="8" w:color="F8F4F1"/>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69,394</w:t>
            </w:r>
          </w:p>
        </w:tc>
      </w:tr>
      <w:tr>
        <w:trPr>
          <w:trHeight w:val="262"/>
        </w:trPr>
        <w:tc>
          <w:tcPr>
            <w:tcW w:w="4700" w:type="dxa"/>
            <w:vAlign w:val="bottom"/>
            <w:tcBorders>
              <w:bottom w:val="single" w:sz="8" w:color="F8F4F1"/>
            </w:tcBorders>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Total Rental and Tenant Reimbursement Revenue</w:t>
            </w:r>
          </w:p>
        </w:tc>
        <w:tc>
          <w:tcPr>
            <w:tcW w:w="22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144,164</w:t>
            </w:r>
          </w:p>
        </w:tc>
        <w:tc>
          <w:tcPr>
            <w:tcW w:w="100" w:type="dxa"/>
            <w:vAlign w:val="bottom"/>
            <w:tcBorders>
              <w:bottom w:val="single" w:sz="8" w:color="F8F4F1"/>
            </w:tcBorders>
            <w:shd w:val="clear" w:color="auto" w:fill="F8F4F1"/>
          </w:tcPr>
          <w:p>
            <w:pPr>
              <w:spacing w:after="0"/>
              <w:rPr>
                <w:sz w:val="22"/>
                <w:szCs w:val="22"/>
                <w:color w:val="auto"/>
              </w:rPr>
            </w:pPr>
          </w:p>
        </w:tc>
        <w:tc>
          <w:tcPr>
            <w:tcW w:w="22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133,030</w:t>
            </w:r>
          </w:p>
        </w:tc>
        <w:tc>
          <w:tcPr>
            <w:tcW w:w="160" w:type="dxa"/>
            <w:vAlign w:val="bottom"/>
            <w:tcBorders>
              <w:bottom w:val="single" w:sz="8" w:color="F8F4F1"/>
            </w:tcBorders>
            <w:shd w:val="clear" w:color="auto" w:fill="F8F4F1"/>
          </w:tcPr>
          <w:p>
            <w:pPr>
              <w:spacing w:after="0"/>
              <w:rPr>
                <w:sz w:val="22"/>
                <w:szCs w:val="22"/>
                <w:color w:val="auto"/>
              </w:rPr>
            </w:pPr>
          </w:p>
        </w:tc>
        <w:tc>
          <w:tcPr>
            <w:tcW w:w="22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417,870</w:t>
            </w:r>
          </w:p>
        </w:tc>
        <w:tc>
          <w:tcPr>
            <w:tcW w:w="120" w:type="dxa"/>
            <w:vAlign w:val="bottom"/>
            <w:tcBorders>
              <w:bottom w:val="single" w:sz="8" w:color="F8F4F1"/>
            </w:tcBorders>
            <w:shd w:val="clear" w:color="auto" w:fill="F8F4F1"/>
          </w:tcPr>
          <w:p>
            <w:pPr>
              <w:spacing w:after="0"/>
              <w:rPr>
                <w:sz w:val="22"/>
                <w:szCs w:val="22"/>
                <w:color w:val="auto"/>
              </w:rPr>
            </w:pPr>
          </w:p>
        </w:tc>
        <w:tc>
          <w:tcPr>
            <w:tcW w:w="22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403,048</w:t>
            </w:r>
          </w:p>
        </w:tc>
      </w:tr>
      <w:tr>
        <w:trPr>
          <w:trHeight w:val="20"/>
        </w:trPr>
        <w:tc>
          <w:tcPr>
            <w:tcW w:w="470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340" w:type="dxa"/>
            <w:vAlign w:val="bottom"/>
            <w:tcBorders>
              <w:top w:val="single" w:sz="8" w:color="F8F4F1"/>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280" w:type="dxa"/>
            <w:vAlign w:val="bottom"/>
            <w:tcBorders>
              <w:top w:val="single" w:sz="8" w:color="F8F4F1"/>
              <w:bottom w:val="single" w:sz="8" w:color="auto"/>
            </w:tcBorders>
          </w:tcPr>
          <w:p>
            <w:pPr>
              <w:spacing w:after="0" w:line="20" w:lineRule="exact"/>
              <w:rPr>
                <w:sz w:val="1"/>
                <w:szCs w:val="1"/>
                <w:color w:val="auto"/>
              </w:rPr>
            </w:pPr>
          </w:p>
        </w:tc>
        <w:tc>
          <w:tcPr>
            <w:tcW w:w="16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28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380" w:type="dxa"/>
            <w:vAlign w:val="bottom"/>
            <w:tcBorders>
              <w:top w:val="single" w:sz="8" w:color="F8F4F1"/>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Issued At-The-Market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Piedmont's established at-the-market program (the "ATM program"), Piedmont may offer and sell from time to time shares of its common stock with an aggregate gross sales price of up to $250 million through sales agents. Under the ATM program, Piedmont may enter into forward equity sale agreements. During the three months ended September 30, 2026, Piedmont sold approximately 4.1 million shares at a weighted-average price per share of $9.72 through forward equity sales agreements, which shares were settled during the quarter, raising approximately $39.6 million in net proceeds. As of September 30, 2026, Piedmont had approximately $210 million available under its ATM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Statement Expense Disaggregation Disclosures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FASB has issued Accounting Standards Update ("ASU") No.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ASU 2024-03 aims to enhance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and presentation of income statement expenses in response to increasing demand from investors and other stakeholders for greater clarity and comparability surrounding the nature and composition of an entity's expenses. The amendments of ASU 2024-03 require tabular disclosure of certain cost and expense information, such as employee compensation, in the footnotes to the financial statements. ASU 2024-03 is effective for Piedmont beginning with the Form 10-K for the year ended December 31, 2027, and subsequent interim periods beginning in calendar-year 2028. Piedmont is currently evaluating the potential impact of adoption; however, Piedmont does not anticipate any material impact to its consolidated financial statements as a result of adoption of ASU 2024-03.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Piedmont acquired 100% of the ownership interest in 4075 Wilson Boulevard in the Ballston submarket of Arlington, Virginia, consisting of 186,476 square feet and approximately 83% leased. The net purchase price of $52.0 million was primarily funded using proceeds from the $600 Million Unsecured 2022 Line of Credit and cash on hand.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of 4075 Wilson Boulevard, inclusive of approximately $0.8 million of closing costs, was allocated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Borders>
              <w:bottom w:val="single" w:sz="8" w:color="F8F4F1"/>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4075 Wilson Boulevard</w:t>
            </w:r>
          </w:p>
        </w:tc>
      </w:tr>
      <w:tr>
        <w:trPr>
          <w:trHeight w:val="239"/>
        </w:trPr>
        <w:tc>
          <w:tcPr>
            <w:tcW w:w="73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620" w:type="dxa"/>
            <w:vAlign w:val="bottom"/>
            <w:shd w:val="clear" w:color="auto" w:fill="F8F4F1"/>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shd w:val="clear" w:color="auto" w:fill="F8F4F1"/>
          </w:tcPr>
          <w:p>
            <w:pPr>
              <w:ind w:left="2720"/>
              <w:spacing w:after="0"/>
              <w:rPr>
                <w:sz w:val="20"/>
                <w:szCs w:val="20"/>
                <w:color w:val="auto"/>
              </w:rPr>
            </w:pPr>
            <w:r>
              <w:rPr>
                <w:rFonts w:ascii="Times New Roman" w:cs="Times New Roman" w:eastAsia="Times New Roman" w:hAnsi="Times New Roman"/>
                <w:sz w:val="18"/>
                <w:szCs w:val="18"/>
                <w:color w:val="auto"/>
              </w:rPr>
              <w:t>11,899</w:t>
            </w:r>
          </w:p>
        </w:tc>
      </w:tr>
      <w:tr>
        <w:trPr>
          <w:trHeight w:val="24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620" w:type="dxa"/>
            <w:vAlign w:val="bottom"/>
          </w:tcPr>
          <w:p>
            <w:pPr>
              <w:spacing w:after="0"/>
              <w:rPr>
                <w:sz w:val="21"/>
                <w:szCs w:val="21"/>
                <w:color w:val="auto"/>
              </w:rPr>
            </w:pPr>
          </w:p>
        </w:tc>
        <w:tc>
          <w:tcPr>
            <w:tcW w:w="32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22,538</w:t>
            </w:r>
          </w:p>
        </w:tc>
      </w:tr>
      <w:tr>
        <w:trPr>
          <w:trHeight w:val="243"/>
        </w:trPr>
        <w:tc>
          <w:tcPr>
            <w:tcW w:w="7340" w:type="dxa"/>
            <w:vAlign w:val="bottom"/>
            <w:shd w:val="clear" w:color="auto" w:fill="F8F4F1"/>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Intangible lease assets </w:t>
            </w:r>
            <w:r>
              <w:rPr>
                <w:rFonts w:ascii="Times New Roman" w:cs="Times New Roman" w:eastAsia="Times New Roman" w:hAnsi="Times New Roman"/>
                <w:sz w:val="23"/>
                <w:szCs w:val="23"/>
                <w:color w:val="auto"/>
                <w:vertAlign w:val="superscript"/>
              </w:rPr>
              <w:t>(1)</w:t>
            </w:r>
          </w:p>
        </w:tc>
        <w:tc>
          <w:tcPr>
            <w:tcW w:w="620" w:type="dxa"/>
            <w:vAlign w:val="bottom"/>
            <w:shd w:val="clear" w:color="auto" w:fill="F8F4F1"/>
          </w:tcPr>
          <w:p>
            <w:pPr>
              <w:spacing w:after="0"/>
              <w:rPr>
                <w:sz w:val="21"/>
                <w:szCs w:val="21"/>
                <w:color w:val="auto"/>
              </w:rPr>
            </w:pPr>
          </w:p>
        </w:tc>
        <w:tc>
          <w:tcPr>
            <w:tcW w:w="3280" w:type="dxa"/>
            <w:vAlign w:val="bottom"/>
            <w:shd w:val="clear" w:color="auto" w:fill="F8F4F1"/>
          </w:tcPr>
          <w:p>
            <w:pPr>
              <w:ind w:left="2720"/>
              <w:spacing w:after="0"/>
              <w:rPr>
                <w:sz w:val="20"/>
                <w:szCs w:val="20"/>
                <w:color w:val="auto"/>
              </w:rPr>
            </w:pPr>
            <w:r>
              <w:rPr>
                <w:rFonts w:ascii="Times New Roman" w:cs="Times New Roman" w:eastAsia="Times New Roman" w:hAnsi="Times New Roman"/>
                <w:sz w:val="18"/>
                <w:szCs w:val="18"/>
                <w:color w:val="auto"/>
              </w:rPr>
              <w:t>12,589</w:t>
            </w:r>
          </w:p>
        </w:tc>
      </w:tr>
      <w:tr>
        <w:trPr>
          <w:trHeight w:val="243"/>
        </w:trPr>
        <w:tc>
          <w:tcPr>
            <w:tcW w:w="7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Lease acquisition costs, net of tenant credits received from seller </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21"/>
                <w:szCs w:val="21"/>
                <w:color w:val="auto"/>
              </w:rPr>
            </w:pPr>
          </w:p>
        </w:tc>
        <w:tc>
          <w:tcPr>
            <w:tcW w:w="32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(3,755)</w:t>
            </w:r>
          </w:p>
        </w:tc>
      </w:tr>
      <w:tr>
        <w:trPr>
          <w:trHeight w:val="243"/>
        </w:trPr>
        <w:tc>
          <w:tcPr>
            <w:tcW w:w="7340" w:type="dxa"/>
            <w:vAlign w:val="bottom"/>
            <w:shd w:val="clear" w:color="auto" w:fill="F8F4F1"/>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Intangible lease origination costs </w:t>
            </w:r>
            <w:r>
              <w:rPr>
                <w:rFonts w:ascii="Times New Roman" w:cs="Times New Roman" w:eastAsia="Times New Roman" w:hAnsi="Times New Roman"/>
                <w:sz w:val="23"/>
                <w:szCs w:val="23"/>
                <w:color w:val="auto"/>
                <w:vertAlign w:val="superscript"/>
              </w:rPr>
              <w:t>(1)</w:t>
            </w:r>
          </w:p>
        </w:tc>
        <w:tc>
          <w:tcPr>
            <w:tcW w:w="620" w:type="dxa"/>
            <w:vAlign w:val="bottom"/>
            <w:shd w:val="clear" w:color="auto" w:fill="F8F4F1"/>
          </w:tcPr>
          <w:p>
            <w:pPr>
              <w:spacing w:after="0"/>
              <w:rPr>
                <w:sz w:val="21"/>
                <w:szCs w:val="21"/>
                <w:color w:val="auto"/>
              </w:rPr>
            </w:pPr>
          </w:p>
        </w:tc>
        <w:tc>
          <w:tcPr>
            <w:tcW w:w="3280" w:type="dxa"/>
            <w:vAlign w:val="bottom"/>
            <w:shd w:val="clear" w:color="auto" w:fill="F8F4F1"/>
          </w:tcPr>
          <w:p>
            <w:pPr>
              <w:ind w:left="2720"/>
              <w:spacing w:after="0"/>
              <w:rPr>
                <w:sz w:val="20"/>
                <w:szCs w:val="20"/>
                <w:color w:val="auto"/>
              </w:rPr>
            </w:pPr>
            <w:r>
              <w:rPr>
                <w:rFonts w:ascii="Times New Roman" w:cs="Times New Roman" w:eastAsia="Times New Roman" w:hAnsi="Times New Roman"/>
                <w:sz w:val="18"/>
                <w:szCs w:val="18"/>
                <w:color w:val="auto"/>
              </w:rPr>
              <w:t>11,425</w:t>
            </w:r>
          </w:p>
        </w:tc>
      </w:tr>
      <w:tr>
        <w:trPr>
          <w:trHeight w:val="243"/>
        </w:trPr>
        <w:tc>
          <w:tcPr>
            <w:tcW w:w="7340" w:type="dxa"/>
            <w:vAlign w:val="bottom"/>
            <w:tcBorders>
              <w:bottom w:val="single" w:sz="8" w:color="F8F4F1"/>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Intangible lease liabilities </w:t>
            </w:r>
            <w:r>
              <w:rPr>
                <w:rFonts w:ascii="Times New Roman" w:cs="Times New Roman" w:eastAsia="Times New Roman" w:hAnsi="Times New Roman"/>
                <w:sz w:val="23"/>
                <w:szCs w:val="23"/>
                <w:color w:val="auto"/>
                <w:vertAlign w:val="superscript"/>
              </w:rPr>
              <w:t>(1)</w:t>
            </w:r>
          </w:p>
        </w:tc>
        <w:tc>
          <w:tcPr>
            <w:tcW w:w="6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(1,936)</w:t>
            </w:r>
          </w:p>
        </w:tc>
      </w:tr>
      <w:tr>
        <w:trPr>
          <w:trHeight w:val="262"/>
        </w:trPr>
        <w:tc>
          <w:tcPr>
            <w:tcW w:w="7340" w:type="dxa"/>
            <w:vAlign w:val="bottom"/>
            <w:tcBorders>
              <w:bottom w:val="single" w:sz="8" w:color="F8F4F1"/>
            </w:tcBorders>
            <w:shd w:val="clear" w:color="auto" w:fill="F8F4F1"/>
          </w:tcPr>
          <w:p>
            <w:pPr>
              <w:ind w:left="100"/>
              <w:spacing w:after="0"/>
              <w:rPr>
                <w:sz w:val="20"/>
                <w:szCs w:val="20"/>
                <w:color w:val="auto"/>
              </w:rPr>
            </w:pPr>
            <w:r>
              <w:rPr>
                <w:rFonts w:ascii="Times New Roman" w:cs="Times New Roman" w:eastAsia="Times New Roman" w:hAnsi="Times New Roman"/>
                <w:sz w:val="18"/>
                <w:szCs w:val="18"/>
                <w:color w:val="auto"/>
              </w:rPr>
              <w:t>Total allocated purchase price</w:t>
            </w:r>
          </w:p>
        </w:tc>
        <w:tc>
          <w:tcPr>
            <w:tcW w:w="620" w:type="dxa"/>
            <w:vAlign w:val="bottom"/>
            <w:tcBorders>
              <w:bottom w:val="single" w:sz="8" w:color="auto"/>
            </w:tcBorders>
            <w:shd w:val="clear" w:color="auto" w:fill="F8F4F1"/>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bottom w:val="single" w:sz="8" w:color="auto"/>
            </w:tcBorders>
            <w:shd w:val="clear" w:color="auto" w:fill="F8F4F1"/>
          </w:tcPr>
          <w:p>
            <w:pPr>
              <w:ind w:left="2720"/>
              <w:spacing w:after="0"/>
              <w:rPr>
                <w:sz w:val="20"/>
                <w:szCs w:val="20"/>
                <w:color w:val="auto"/>
              </w:rPr>
            </w:pPr>
            <w:r>
              <w:rPr>
                <w:rFonts w:ascii="Times New Roman" w:cs="Times New Roman" w:eastAsia="Times New Roman" w:hAnsi="Times New Roman"/>
                <w:sz w:val="18"/>
                <w:szCs w:val="18"/>
                <w:color w:val="auto"/>
              </w:rPr>
              <w:t>52,760</w:t>
            </w:r>
          </w:p>
        </w:tc>
      </w:tr>
      <w:tr>
        <w:trPr>
          <w:trHeight w:val="20"/>
        </w:trPr>
        <w:tc>
          <w:tcPr>
            <w:tcW w:w="7340" w:type="dxa"/>
            <w:vAlign w:val="bottom"/>
            <w:tcBorders>
              <w:top w:val="single" w:sz="8" w:color="F8F4F1"/>
            </w:tcBorders>
          </w:tcPr>
          <w:p>
            <w:pPr>
              <w:spacing w:after="0" w:line="20" w:lineRule="exact"/>
              <w:rPr>
                <w:sz w:val="1"/>
                <w:szCs w:val="1"/>
                <w:color w:val="auto"/>
              </w:rPr>
            </w:pPr>
          </w:p>
        </w:tc>
        <w:tc>
          <w:tcPr>
            <w:tcW w:w="620" w:type="dxa"/>
            <w:vAlign w:val="bottom"/>
            <w:tcBorders>
              <w:top w:val="single" w:sz="8" w:color="F8F4F1"/>
              <w:bottom w:val="single" w:sz="8" w:color="auto"/>
            </w:tcBorders>
          </w:tcPr>
          <w:p>
            <w:pPr>
              <w:spacing w:after="0" w:line="20" w:lineRule="exact"/>
              <w:rPr>
                <w:sz w:val="1"/>
                <w:szCs w:val="1"/>
                <w:color w:val="auto"/>
              </w:rPr>
            </w:pPr>
          </w:p>
        </w:tc>
        <w:tc>
          <w:tcPr>
            <w:tcW w:w="3280" w:type="dxa"/>
            <w:vAlign w:val="bottom"/>
            <w:tcBorders>
              <w:top w:val="single" w:sz="8" w:color="F8F4F1"/>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60" w:right="20" w:hanging="652"/>
        <w:spacing w:after="0" w:line="225"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Amortization of in-place lease intangibles and lease acquisition costs are recognized using the straight-line method over approximately 5.5 years, the average remaining life of in-place leases.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Debt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Piedmont OP issued $230.0 million principal amount of its 2.875% exchangeable senior notes (the “Exchangeable Senior Notes”), including $30.0 million of notes issued pursuant to an option granted to the initial purchasers and exercised in full, pursuant to an indenture, dated September 17, 2026 (the “Indenture”). The Exchangeable Senior Notes are fully and unconditionally guaranteed by Piedmont. Interest on the Exchangeable Senior Notes is payable semi-annually on February 1 and August 1 of each year, commencing February 1, 2027. The Exchangeable Senior Notes are scheduled to mature on February 1, 2031, unless earlier repurchased, redeemed, or exchanged, and bear interest at a rate of 2.875% per annum.</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November 1, 2030, noteholders will have the right to exchange their Exchangeable Senior Notes only upon the occurrence of certain events. On and after November 1, 2030, noteholders may exchange their Exchangeable Senior Notes at any time at their election until the close of business on the second scheduled trading day immediately before the maturity date. The initial exchange rate is 79.0514 shares of Piedmont's common stock per $1,000 principal amount of Exchangeable Senior Notes, which represents an initial exchange price of approximately $12.65 per share of Piedmont’s common stock (representing a 37.5% premium to the $9.20 closing price on September 14, 2026). The exchange rate and the exchange price will be subject to customary adjustments upon the occurrence of certain events. The Exchangeable Senior Notes will be exchangeable for cash up to the aggregate principal amount of the Exchangeable Senior Notes to be exchanged and, in respect of the remainder of the exchange obligation, if any, in excess thereof, cash, common shares or a combination thereof, at the election of Piedmont OP.</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Exchangeable Senior Notes will be redeemable, in whole or in part (subject to certain limitations), for cash at Piedmont OP’s option at any time, and from time to time, on or after August 6, 2029, and on or before the 60th scheduled trading day immediately before the maturity date, but only if the last reported sale price per share of Piedmont’s common stock exceeds 130% of the exchange price for a specified period of time and certain other conditions are satisfied. In addition, the Exchangeable Senior Notes will be redeemable, in whole or in part (subject to certain limitations), at Piedmont OP’s option at any time to the extent necessary to preserve Piedmont’s status as a real estate investment trust for U.S. federal income tax purposes or if less than 10% of the Exchangeable Senior Notes are outstanding, in each case, so long as certain liquidity conditions are satisfied. However, Piedmont OP may not redeem less than all of the outstanding Exchangeable Senior Notes in either case unless at least $100.0 million aggregate principal amount of the Exchangeable Senior Notes are outstanding and not called for redemption as of the time Piedmont OP sends the related redemption notice. The redemption price will be equal to the principal amount of the Exchangeable Senior Notes to be redeemed, plus accrued and unpaid interest, if any, to, but excluding, the redemption date.</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noteholders may require Piedmont OP to repurchase the Exchangeable Senior Notes at a cash repurchase price equal to the principal amount of the Exchangeable Senior Notes to be repurchased, plus accrued and unpaid interest, if any, to, but excluding, the fundamental change repurchase date.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Exchangeable Senior Notes are carried at amortized cost. Debt issuance costs of approximately $6.4 million, which include initial purchaser discounts and offering expenses, are presented as a direct deduction from the carrying amount of the Exchangeable Senior Notes and are amortized to interest expense over the contractual term of the Exchangeable Senior Notes using the straight-line method which approximates the effective interest method.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Piedmont OP used a portion of the net proceeds from the offering to repurchase approximately 5.4 million shares of Piedmont's common stock in privately negotiated transactions (at a price of $9.20 per share) for a total purchase price of approximately $50 million. Piedmont used the remainder of the net proceeds, together with the net proceeds from the settlement of certain forward sale transactions entered into under Piedmont’s ATM program, cash on hand and borrowings under its $600 Million Unsecured 2022 Line of Credit, to redeem all of its then outstanding $600 Million Unsecured Senior Notes due 2028, which resulted in the recognition of an approximately $20.2 million loss on early extinguishment of debt.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Piedmont amended the $325 million Unsecured 2024 Term Loan (as amended, the "$400 Million Unsecured 2026 Term Loan") to, among other things, increase the principal amount from $325 million to $400 million and extend the maturity date to May 28, 2031. Subject to certain conditions, Piedmont may prepay the loans outstanding under the $400 Million Unsecured 2026 Term Loan, in whole or in part, at any time without premium or penalty. Additionally, the terms of the amendment provide for the use of an increase or decrease to Piedmont’s debt rating and Total Leverage Ratio (as defined in the term loan agreement) as the basis for determining the applicable interest rate, ranging from 0.75% to 1.55%. The net proceeds from the $400 Million Unsecured 2026 Term Loan were used to repay the outstanding balance under Piedmont's $600 Million Unsecured 2022 Line of Credit, with the remainder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terms of Piedmont’s consolidated indebtedness outstanding as of September 30, 2026 and December 31, 2025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Amount Outstanding as of</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Facility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7"/>
                <w:szCs w:val="17"/>
                <w:color w:val="auto"/>
              </w:rPr>
            </w:pPr>
          </w:p>
        </w:tc>
        <w:tc>
          <w:tcPr>
            <w:tcW w:w="12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Stated Rate</w:t>
            </w:r>
          </w:p>
        </w:tc>
        <w:tc>
          <w:tcPr>
            <w:tcW w:w="380" w:type="dxa"/>
            <w:vAlign w:val="bottom"/>
            <w:vMerge w:val="restart"/>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1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6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F8F4F1"/>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F8F4F1"/>
            </w:tcBorders>
            <w:vMerge w:val="continue"/>
          </w:tcPr>
          <w:p>
            <w:pPr>
              <w:spacing w:after="0"/>
              <w:rPr>
                <w:sz w:val="14"/>
                <w:szCs w:val="14"/>
                <w:color w:val="auto"/>
              </w:rPr>
            </w:pP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9"/>
                <w:szCs w:val="9"/>
                <w:b w:val="1"/>
                <w:bCs w:val="1"/>
                <w:color w:val="auto"/>
              </w:rPr>
              <w:t>(2)</w:t>
            </w:r>
          </w:p>
        </w:tc>
        <w:tc>
          <w:tcPr>
            <w:tcW w:w="380" w:type="dxa"/>
            <w:vAlign w:val="bottom"/>
            <w:tcBorders>
              <w:bottom w:val="single" w:sz="8" w:color="F8F4F1"/>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F8F4F1"/>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F8F4F1"/>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F8F4F1"/>
            </w:tcBorders>
            <w:shd w:val="clear" w:color="auto" w:fill="F8F4F1"/>
          </w:tcPr>
          <w:p>
            <w:pPr>
              <w:spacing w:after="0"/>
              <w:rPr>
                <w:sz w:val="18"/>
                <w:szCs w:val="18"/>
                <w:color w:val="auto"/>
              </w:rPr>
            </w:pPr>
          </w:p>
        </w:tc>
        <w:tc>
          <w:tcPr>
            <w:tcW w:w="1160" w:type="dxa"/>
            <w:vAlign w:val="bottom"/>
            <w:tcBorders>
              <w:bottom w:val="single" w:sz="8" w:color="auto"/>
            </w:tcBorders>
            <w:gridSpan w:val="2"/>
            <w:shd w:val="clear" w:color="auto" w:fill="F8F4F1"/>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8"/>
              </w:rPr>
              <w:t>Secured (Fixed)</w:t>
            </w:r>
          </w:p>
        </w:tc>
        <w:tc>
          <w:tcPr>
            <w:tcW w:w="2940" w:type="dxa"/>
            <w:vAlign w:val="bottom"/>
            <w:tcBorders>
              <w:bottom w:val="single" w:sz="8" w:color="F8F4F1"/>
            </w:tcBorders>
            <w:gridSpan w:val="3"/>
            <w:shd w:val="clear" w:color="auto" w:fill="F8F4F1"/>
          </w:tcPr>
          <w:p>
            <w:pPr>
              <w:spacing w:after="0"/>
              <w:rPr>
                <w:sz w:val="18"/>
                <w:szCs w:val="18"/>
                <w:color w:val="auto"/>
              </w:rPr>
            </w:pPr>
          </w:p>
        </w:tc>
        <w:tc>
          <w:tcPr>
            <w:tcW w:w="1280" w:type="dxa"/>
            <w:vAlign w:val="bottom"/>
            <w:tcBorders>
              <w:bottom w:val="single" w:sz="8" w:color="F8F4F1"/>
            </w:tcBorders>
            <w:shd w:val="clear" w:color="auto" w:fill="F8F4F1"/>
          </w:tcPr>
          <w:p>
            <w:pPr>
              <w:spacing w:after="0"/>
              <w:rPr>
                <w:sz w:val="18"/>
                <w:szCs w:val="18"/>
                <w:color w:val="auto"/>
              </w:rPr>
            </w:pPr>
          </w:p>
        </w:tc>
        <w:tc>
          <w:tcPr>
            <w:tcW w:w="380" w:type="dxa"/>
            <w:vAlign w:val="bottom"/>
            <w:tcBorders>
              <w:bottom w:val="single" w:sz="8" w:color="F8F4F1"/>
            </w:tcBorders>
            <w:shd w:val="clear" w:color="auto" w:fill="F8F4F1"/>
          </w:tcPr>
          <w:p>
            <w:pPr>
              <w:spacing w:after="0"/>
              <w:rPr>
                <w:sz w:val="18"/>
                <w:szCs w:val="18"/>
                <w:color w:val="auto"/>
              </w:rPr>
            </w:pPr>
          </w:p>
        </w:tc>
        <w:tc>
          <w:tcPr>
            <w:tcW w:w="1040" w:type="dxa"/>
            <w:vAlign w:val="bottom"/>
            <w:tcBorders>
              <w:bottom w:val="single" w:sz="8" w:color="F8F4F1"/>
            </w:tcBorders>
            <w:shd w:val="clear" w:color="auto" w:fill="F8F4F1"/>
          </w:tcPr>
          <w:p>
            <w:pPr>
              <w:spacing w:after="0"/>
              <w:rPr>
                <w:sz w:val="18"/>
                <w:szCs w:val="18"/>
                <w:color w:val="auto"/>
              </w:rPr>
            </w:pPr>
          </w:p>
        </w:tc>
        <w:tc>
          <w:tcPr>
            <w:tcW w:w="380" w:type="dxa"/>
            <w:vAlign w:val="bottom"/>
            <w:tcBorders>
              <w:bottom w:val="single" w:sz="8" w:color="F8F4F1"/>
            </w:tcBorders>
            <w:shd w:val="clear" w:color="auto" w:fill="F8F4F1"/>
          </w:tcPr>
          <w:p>
            <w:pPr>
              <w:spacing w:after="0"/>
              <w:rPr>
                <w:sz w:val="18"/>
                <w:szCs w:val="18"/>
                <w:color w:val="auto"/>
              </w:rPr>
            </w:pPr>
          </w:p>
        </w:tc>
        <w:tc>
          <w:tcPr>
            <w:tcW w:w="1160" w:type="dxa"/>
            <w:vAlign w:val="bottom"/>
            <w:tcBorders>
              <w:bottom w:val="single" w:sz="8" w:color="F8F4F1"/>
            </w:tcBorders>
            <w:shd w:val="clear" w:color="auto" w:fill="F8F4F1"/>
          </w:tcPr>
          <w:p>
            <w:pPr>
              <w:spacing w:after="0"/>
              <w:rPr>
                <w:sz w:val="18"/>
                <w:szCs w:val="18"/>
                <w:color w:val="auto"/>
              </w:rPr>
            </w:pPr>
          </w:p>
        </w:tc>
        <w:tc>
          <w:tcPr>
            <w:tcW w:w="360" w:type="dxa"/>
            <w:vAlign w:val="bottom"/>
            <w:tcBorders>
              <w:bottom w:val="single" w:sz="8" w:color="F8F4F1"/>
            </w:tcBorders>
            <w:shd w:val="clear" w:color="auto" w:fill="F8F4F1"/>
          </w:tcPr>
          <w:p>
            <w:pPr>
              <w:spacing w:after="0"/>
              <w:rPr>
                <w:sz w:val="18"/>
                <w:szCs w:val="18"/>
                <w:color w:val="auto"/>
              </w:rPr>
            </w:pPr>
          </w:p>
        </w:tc>
        <w:tc>
          <w:tcPr>
            <w:tcW w:w="140" w:type="dxa"/>
            <w:vAlign w:val="bottom"/>
            <w:tcBorders>
              <w:bottom w:val="single" w:sz="8" w:color="F8F4F1"/>
            </w:tcBorders>
            <w:shd w:val="clear" w:color="auto" w:fill="F8F4F1"/>
          </w:tcPr>
          <w:p>
            <w:pPr>
              <w:spacing w:after="0"/>
              <w:rPr>
                <w:sz w:val="18"/>
                <w:szCs w:val="18"/>
                <w:color w:val="auto"/>
              </w:rPr>
            </w:pPr>
          </w:p>
        </w:tc>
        <w:tc>
          <w:tcPr>
            <w:tcW w:w="1080" w:type="dxa"/>
            <w:vAlign w:val="bottom"/>
            <w:tcBorders>
              <w:bottom w:val="single" w:sz="8" w:color="F8F4F1"/>
            </w:tcBorders>
            <w:shd w:val="clear" w:color="auto" w:fill="F8F4F1"/>
          </w:tcPr>
          <w:p>
            <w:pPr>
              <w:spacing w:after="0"/>
              <w:rPr>
                <w:sz w:val="18"/>
                <w:szCs w:val="18"/>
                <w:color w:val="auto"/>
              </w:rPr>
            </w:pPr>
          </w:p>
        </w:tc>
        <w:tc>
          <w:tcPr>
            <w:tcW w:w="80" w:type="dxa"/>
            <w:vAlign w:val="bottom"/>
            <w:tcBorders>
              <w:bottom w:val="single" w:sz="8" w:color="F8F4F1"/>
            </w:tcBorders>
            <w:shd w:val="clear" w:color="auto" w:fill="F8F4F1"/>
          </w:tcPr>
          <w:p>
            <w:pPr>
              <w:spacing w:after="0"/>
              <w:rPr>
                <w:sz w:val="18"/>
                <w:szCs w:val="18"/>
                <w:color w:val="auto"/>
              </w:rPr>
            </w:pPr>
          </w:p>
        </w:tc>
        <w:tc>
          <w:tcPr>
            <w:tcW w:w="280" w:type="dxa"/>
            <w:vAlign w:val="bottom"/>
            <w:tcBorders>
              <w:bottom w:val="single" w:sz="8" w:color="F8F4F1"/>
            </w:tcBorders>
            <w:shd w:val="clear" w:color="auto" w:fill="F8F4F1"/>
          </w:tcPr>
          <w:p>
            <w:pPr>
              <w:spacing w:after="0"/>
              <w:rPr>
                <w:sz w:val="18"/>
                <w:szCs w:val="18"/>
                <w:color w:val="auto"/>
              </w:rPr>
            </w:pPr>
          </w:p>
        </w:tc>
        <w:tc>
          <w:tcPr>
            <w:tcW w:w="940" w:type="dxa"/>
            <w:vAlign w:val="bottom"/>
            <w:tcBorders>
              <w:bottom w:val="single" w:sz="8" w:color="F8F4F1"/>
            </w:tcBorders>
            <w:shd w:val="clear" w:color="auto" w:fill="F8F4F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$197 Million Fixed Rate Mortgage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380" w:type="dxa"/>
            <w:vAlign w:val="bottom"/>
          </w:tcPr>
          <w:p>
            <w:pPr>
              <w:spacing w:after="0"/>
              <w:rPr>
                <w:sz w:val="21"/>
                <w:szCs w:val="21"/>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10/1/2028</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186,023</w:t>
            </w:r>
          </w:p>
        </w:tc>
        <w:tc>
          <w:tcPr>
            <w:tcW w:w="8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188,822</w:t>
            </w:r>
          </w:p>
        </w:tc>
        <w:tc>
          <w:tcPr>
            <w:tcW w:w="0" w:type="dxa"/>
            <w:vAlign w:val="bottom"/>
          </w:tcPr>
          <w:p>
            <w:pPr>
              <w:spacing w:after="0"/>
              <w:rPr>
                <w:sz w:val="1"/>
                <w:szCs w:val="1"/>
                <w:color w:val="auto"/>
              </w:rPr>
            </w:pPr>
          </w:p>
        </w:tc>
      </w:tr>
      <w:tr>
        <w:trPr>
          <w:trHeight w:val="311"/>
        </w:trPr>
        <w:tc>
          <w:tcPr>
            <w:tcW w:w="20" w:type="dxa"/>
            <w:vAlign w:val="bottom"/>
            <w:shd w:val="clear" w:color="auto" w:fill="F8F4F1"/>
          </w:tcPr>
          <w:p>
            <w:pPr>
              <w:spacing w:after="0"/>
              <w:rPr>
                <w:sz w:val="24"/>
                <w:szCs w:val="24"/>
                <w:color w:val="auto"/>
              </w:rPr>
            </w:pPr>
          </w:p>
        </w:tc>
        <w:tc>
          <w:tcPr>
            <w:tcW w:w="1160" w:type="dxa"/>
            <w:vAlign w:val="bottom"/>
            <w:gridSpan w:val="2"/>
            <w:shd w:val="clear" w:color="auto" w:fill="F8F4F1"/>
          </w:tcPr>
          <w:p>
            <w:pPr>
              <w:spacing w:after="0"/>
              <w:rPr>
                <w:sz w:val="24"/>
                <w:szCs w:val="24"/>
                <w:color w:val="auto"/>
              </w:rPr>
            </w:pPr>
          </w:p>
        </w:tc>
        <w:tc>
          <w:tcPr>
            <w:tcW w:w="1160" w:type="dxa"/>
            <w:vAlign w:val="bottom"/>
            <w:shd w:val="clear" w:color="auto" w:fill="F8F4F1"/>
          </w:tcPr>
          <w:p>
            <w:pPr>
              <w:spacing w:after="0"/>
              <w:rPr>
                <w:sz w:val="24"/>
                <w:szCs w:val="24"/>
                <w:color w:val="auto"/>
              </w:rPr>
            </w:pPr>
          </w:p>
        </w:tc>
        <w:tc>
          <w:tcPr>
            <w:tcW w:w="1680" w:type="dxa"/>
            <w:vAlign w:val="bottom"/>
            <w:shd w:val="clear" w:color="auto" w:fill="F8F4F1"/>
          </w:tcPr>
          <w:p>
            <w:pPr>
              <w:spacing w:after="0"/>
              <w:rPr>
                <w:sz w:val="24"/>
                <w:szCs w:val="24"/>
                <w:color w:val="auto"/>
              </w:rPr>
            </w:pPr>
          </w:p>
        </w:tc>
        <w:tc>
          <w:tcPr>
            <w:tcW w:w="100" w:type="dxa"/>
            <w:vAlign w:val="bottom"/>
            <w:shd w:val="clear" w:color="auto" w:fill="F8F4F1"/>
          </w:tcPr>
          <w:p>
            <w:pPr>
              <w:spacing w:after="0"/>
              <w:rPr>
                <w:sz w:val="24"/>
                <w:szCs w:val="24"/>
                <w:color w:val="auto"/>
              </w:rPr>
            </w:pPr>
          </w:p>
        </w:tc>
        <w:tc>
          <w:tcPr>
            <w:tcW w:w="1280" w:type="dxa"/>
            <w:vAlign w:val="bottom"/>
            <w:shd w:val="clear" w:color="auto" w:fill="F8F4F1"/>
          </w:tcPr>
          <w:p>
            <w:pPr>
              <w:spacing w:after="0"/>
              <w:rPr>
                <w:sz w:val="24"/>
                <w:szCs w:val="24"/>
                <w:color w:val="auto"/>
              </w:rPr>
            </w:pPr>
          </w:p>
        </w:tc>
        <w:tc>
          <w:tcPr>
            <w:tcW w:w="380" w:type="dxa"/>
            <w:vAlign w:val="bottom"/>
            <w:shd w:val="clear" w:color="auto" w:fill="F8F4F1"/>
          </w:tcPr>
          <w:p>
            <w:pPr>
              <w:spacing w:after="0"/>
              <w:rPr>
                <w:sz w:val="24"/>
                <w:szCs w:val="24"/>
                <w:color w:val="auto"/>
              </w:rPr>
            </w:pPr>
          </w:p>
        </w:tc>
        <w:tc>
          <w:tcPr>
            <w:tcW w:w="1040" w:type="dxa"/>
            <w:vAlign w:val="bottom"/>
            <w:shd w:val="clear" w:color="auto" w:fill="F8F4F1"/>
          </w:tcPr>
          <w:p>
            <w:pPr>
              <w:spacing w:after="0"/>
              <w:rPr>
                <w:sz w:val="24"/>
                <w:szCs w:val="24"/>
                <w:color w:val="auto"/>
              </w:rPr>
            </w:pPr>
          </w:p>
        </w:tc>
        <w:tc>
          <w:tcPr>
            <w:tcW w:w="380" w:type="dxa"/>
            <w:vAlign w:val="bottom"/>
            <w:shd w:val="clear" w:color="auto" w:fill="F8F4F1"/>
          </w:tcPr>
          <w:p>
            <w:pPr>
              <w:spacing w:after="0"/>
              <w:rPr>
                <w:sz w:val="24"/>
                <w:szCs w:val="24"/>
                <w:color w:val="auto"/>
              </w:rPr>
            </w:pPr>
          </w:p>
        </w:tc>
        <w:tc>
          <w:tcPr>
            <w:tcW w:w="1160" w:type="dxa"/>
            <w:vAlign w:val="bottom"/>
            <w:shd w:val="clear" w:color="auto" w:fill="F8F4F1"/>
          </w:tcPr>
          <w:p>
            <w:pPr>
              <w:spacing w:after="0"/>
              <w:rPr>
                <w:sz w:val="24"/>
                <w:szCs w:val="24"/>
                <w:color w:val="auto"/>
              </w:rPr>
            </w:pPr>
          </w:p>
        </w:tc>
        <w:tc>
          <w:tcPr>
            <w:tcW w:w="360" w:type="dxa"/>
            <w:vAlign w:val="bottom"/>
            <w:shd w:val="clear" w:color="auto" w:fill="F8F4F1"/>
          </w:tcPr>
          <w:p>
            <w:pPr>
              <w:spacing w:after="0"/>
              <w:rPr>
                <w:sz w:val="24"/>
                <w:szCs w:val="24"/>
                <w:color w:val="auto"/>
              </w:rPr>
            </w:pPr>
          </w:p>
        </w:tc>
        <w:tc>
          <w:tcPr>
            <w:tcW w:w="140" w:type="dxa"/>
            <w:vAlign w:val="bottom"/>
            <w:shd w:val="clear" w:color="auto" w:fill="F8F4F1"/>
          </w:tcPr>
          <w:p>
            <w:pPr>
              <w:spacing w:after="0"/>
              <w:rPr>
                <w:sz w:val="24"/>
                <w:szCs w:val="24"/>
                <w:color w:val="auto"/>
              </w:rPr>
            </w:pPr>
          </w:p>
        </w:tc>
        <w:tc>
          <w:tcPr>
            <w:tcW w:w="1080" w:type="dxa"/>
            <w:vAlign w:val="bottom"/>
            <w:shd w:val="clear" w:color="auto" w:fill="F8F4F1"/>
          </w:tcPr>
          <w:p>
            <w:pPr>
              <w:spacing w:after="0"/>
              <w:rPr>
                <w:sz w:val="24"/>
                <w:szCs w:val="24"/>
                <w:color w:val="auto"/>
              </w:rPr>
            </w:pPr>
          </w:p>
        </w:tc>
        <w:tc>
          <w:tcPr>
            <w:tcW w:w="80" w:type="dxa"/>
            <w:vAlign w:val="bottom"/>
            <w:shd w:val="clear" w:color="auto" w:fill="F8F4F1"/>
          </w:tcPr>
          <w:p>
            <w:pPr>
              <w:spacing w:after="0"/>
              <w:rPr>
                <w:sz w:val="24"/>
                <w:szCs w:val="24"/>
                <w:color w:val="auto"/>
              </w:rPr>
            </w:pPr>
          </w:p>
        </w:tc>
        <w:tc>
          <w:tcPr>
            <w:tcW w:w="280" w:type="dxa"/>
            <w:vAlign w:val="bottom"/>
            <w:shd w:val="clear" w:color="auto" w:fill="F8F4F1"/>
          </w:tcPr>
          <w:p>
            <w:pPr>
              <w:spacing w:after="0"/>
              <w:rPr>
                <w:sz w:val="24"/>
                <w:szCs w:val="24"/>
                <w:color w:val="auto"/>
              </w:rPr>
            </w:pPr>
          </w:p>
        </w:tc>
        <w:tc>
          <w:tcPr>
            <w:tcW w:w="940" w:type="dxa"/>
            <w:vAlign w:val="bottom"/>
            <w:shd w:val="clear" w:color="auto" w:fill="F8F4F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Unsecured (Variable and Fixed)</w:t>
            </w: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4100" w:type="dxa"/>
            <w:vAlign w:val="bottom"/>
            <w:gridSpan w:val="5"/>
            <w:shd w:val="clear" w:color="auto" w:fill="F8F4F1"/>
          </w:tcPr>
          <w:p>
            <w:pPr>
              <w:spacing w:after="0"/>
              <w:rPr>
                <w:sz w:val="20"/>
                <w:szCs w:val="20"/>
                <w:color w:val="auto"/>
              </w:rPr>
            </w:pPr>
            <w:r>
              <w:rPr>
                <w:rFonts w:ascii="Times New Roman" w:cs="Times New Roman" w:eastAsia="Times New Roman" w:hAnsi="Times New Roman"/>
                <w:sz w:val="18"/>
                <w:szCs w:val="18"/>
                <w:color w:val="auto"/>
              </w:rPr>
              <w:t>$600 Million Unsecured 2022 Line of Credit</w:t>
            </w:r>
          </w:p>
        </w:tc>
        <w:tc>
          <w:tcPr>
            <w:tcW w:w="1660" w:type="dxa"/>
            <w:vAlign w:val="bottom"/>
            <w:gridSpan w:val="2"/>
            <w:shd w:val="clear" w:color="auto" w:fill="F8F4F1"/>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SOFR + 1.05% </w:t>
            </w:r>
            <w:r>
              <w:rPr>
                <w:rFonts w:ascii="Times New Roman" w:cs="Times New Roman" w:eastAsia="Times New Roman" w:hAnsi="Times New Roman"/>
                <w:sz w:val="23"/>
                <w:szCs w:val="23"/>
                <w:color w:val="auto"/>
                <w:vertAlign w:val="superscript"/>
              </w:rPr>
              <w:t>(3)</w:t>
            </w:r>
          </w:p>
        </w:tc>
        <w:tc>
          <w:tcPr>
            <w:tcW w:w="1420" w:type="dxa"/>
            <w:vAlign w:val="bottom"/>
            <w:gridSpan w:val="2"/>
            <w:shd w:val="clear" w:color="auto" w:fill="F8F4F1"/>
          </w:tcPr>
          <w:p>
            <w:pPr>
              <w:ind w:left="500"/>
              <w:spacing w:after="0" w:line="243" w:lineRule="exact"/>
              <w:rPr>
                <w:sz w:val="20"/>
                <w:szCs w:val="20"/>
                <w:color w:val="auto"/>
              </w:rPr>
            </w:pPr>
            <w:r>
              <w:rPr>
                <w:rFonts w:ascii="Times New Roman" w:cs="Times New Roman" w:eastAsia="Times New Roman" w:hAnsi="Times New Roman"/>
                <w:sz w:val="18"/>
                <w:szCs w:val="18"/>
                <w:color w:val="auto"/>
              </w:rPr>
              <w:t xml:space="preserve">4.95 % </w:t>
            </w:r>
            <w:r>
              <w:rPr>
                <w:rFonts w:ascii="Times New Roman" w:cs="Times New Roman" w:eastAsia="Times New Roman" w:hAnsi="Times New Roman"/>
                <w:sz w:val="23"/>
                <w:szCs w:val="23"/>
                <w:color w:val="auto"/>
                <w:vertAlign w:val="superscript"/>
              </w:rPr>
              <w:t>(4)</w:t>
            </w:r>
          </w:p>
        </w:tc>
        <w:tc>
          <w:tcPr>
            <w:tcW w:w="1520" w:type="dxa"/>
            <w:vAlign w:val="bottom"/>
            <w:gridSpan w:val="2"/>
            <w:shd w:val="clear" w:color="auto" w:fill="F8F4F1"/>
          </w:tcPr>
          <w:p>
            <w:pPr>
              <w:jc w:val="right"/>
              <w:ind w:right="220"/>
              <w:spacing w:after="0" w:line="243" w:lineRule="exact"/>
              <w:rPr>
                <w:sz w:val="20"/>
                <w:szCs w:val="20"/>
                <w:color w:val="auto"/>
              </w:rPr>
            </w:pPr>
            <w:r>
              <w:rPr>
                <w:rFonts w:ascii="Times New Roman" w:cs="Times New Roman" w:eastAsia="Times New Roman" w:hAnsi="Times New Roman"/>
                <w:sz w:val="18"/>
                <w:szCs w:val="18"/>
                <w:color w:val="auto"/>
              </w:rPr>
              <w:t xml:space="preserve">6/30/2028 </w:t>
            </w:r>
            <w:r>
              <w:rPr>
                <w:rFonts w:ascii="Times New Roman" w:cs="Times New Roman" w:eastAsia="Times New Roman" w:hAnsi="Times New Roman"/>
                <w:sz w:val="23"/>
                <w:szCs w:val="23"/>
                <w:color w:val="auto"/>
                <w:vertAlign w:val="superscript"/>
              </w:rPr>
              <w:t>(5)</w:t>
            </w:r>
          </w:p>
        </w:tc>
        <w:tc>
          <w:tcPr>
            <w:tcW w:w="1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152,000</w:t>
            </w:r>
          </w:p>
        </w:tc>
        <w:tc>
          <w:tcPr>
            <w:tcW w:w="80" w:type="dxa"/>
            <w:vAlign w:val="bottom"/>
            <w:shd w:val="clear" w:color="auto" w:fill="F8F4F1"/>
          </w:tcPr>
          <w:p>
            <w:pPr>
              <w:spacing w:after="0"/>
              <w:rPr>
                <w:sz w:val="21"/>
                <w:szCs w:val="21"/>
                <w:color w:val="auto"/>
              </w:rPr>
            </w:pPr>
          </w:p>
        </w:tc>
        <w:tc>
          <w:tcPr>
            <w:tcW w:w="280" w:type="dxa"/>
            <w:vAlign w:val="bottom"/>
            <w:shd w:val="clear" w:color="auto" w:fill="F8F4F1"/>
          </w:tcPr>
          <w:p>
            <w:pPr>
              <w:spacing w:after="0"/>
              <w:rPr>
                <w:sz w:val="21"/>
                <w:szCs w:val="21"/>
                <w:color w:val="auto"/>
              </w:rPr>
            </w:pPr>
          </w:p>
        </w:tc>
        <w:tc>
          <w:tcPr>
            <w:tcW w:w="9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$400 Million Unsecured 2026 Term Loan</w:t>
            </w:r>
          </w:p>
        </w:tc>
        <w:tc>
          <w:tcPr>
            <w:tcW w:w="16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18"/>
                <w:szCs w:val="18"/>
                <w:color w:val="auto"/>
              </w:rPr>
              <w:t xml:space="preserve">SOFR + 1.15% </w:t>
            </w:r>
            <w:r>
              <w:rPr>
                <w:rFonts w:ascii="Times New Roman" w:cs="Times New Roman" w:eastAsia="Times New Roman" w:hAnsi="Times New Roman"/>
                <w:sz w:val="23"/>
                <w:szCs w:val="23"/>
                <w:color w:val="auto"/>
                <w:vertAlign w:val="superscript"/>
              </w:rPr>
              <w:t>(3)</w:t>
            </w:r>
          </w:p>
        </w:tc>
        <w:tc>
          <w:tcPr>
            <w:tcW w:w="14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18"/>
                <w:szCs w:val="18"/>
                <w:color w:val="auto"/>
              </w:rPr>
              <w:t xml:space="preserve">4.98 % </w:t>
            </w:r>
            <w:r>
              <w:rPr>
                <w:rFonts w:ascii="Times New Roman" w:cs="Times New Roman" w:eastAsia="Times New Roman" w:hAnsi="Times New Roman"/>
                <w:sz w:val="23"/>
                <w:szCs w:val="23"/>
                <w:color w:val="auto"/>
                <w:vertAlign w:val="superscript"/>
              </w:rPr>
              <w:t>(6)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5/28/2031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4100" w:type="dxa"/>
            <w:vAlign w:val="bottom"/>
            <w:gridSpan w:val="5"/>
            <w:shd w:val="clear" w:color="auto" w:fill="F8F4F1"/>
          </w:tcPr>
          <w:p>
            <w:pPr>
              <w:spacing w:after="0"/>
              <w:rPr>
                <w:sz w:val="20"/>
                <w:szCs w:val="20"/>
                <w:color w:val="auto"/>
              </w:rPr>
            </w:pPr>
            <w:r>
              <w:rPr>
                <w:rFonts w:ascii="Times New Roman" w:cs="Times New Roman" w:eastAsia="Times New Roman" w:hAnsi="Times New Roman"/>
                <w:sz w:val="18"/>
                <w:szCs w:val="18"/>
                <w:color w:val="auto"/>
              </w:rPr>
              <w:t>$600 Million Unsecured Senior Notes due 2028</w:t>
            </w:r>
          </w:p>
        </w:tc>
        <w:tc>
          <w:tcPr>
            <w:tcW w:w="12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380" w:type="dxa"/>
            <w:vAlign w:val="bottom"/>
            <w:shd w:val="clear" w:color="auto" w:fill="F8F4F1"/>
          </w:tcPr>
          <w:p>
            <w:pPr>
              <w:spacing w:after="0"/>
              <w:rPr>
                <w:sz w:val="21"/>
                <w:szCs w:val="21"/>
                <w:color w:val="auto"/>
              </w:rPr>
            </w:pPr>
          </w:p>
        </w:tc>
        <w:tc>
          <w:tcPr>
            <w:tcW w:w="1040" w:type="dxa"/>
            <w:vAlign w:val="bottom"/>
            <w:shd w:val="clear" w:color="auto" w:fill="F8F4F1"/>
          </w:tcPr>
          <w:p>
            <w:pPr>
              <w:ind w:left="500"/>
              <w:spacing w:after="0"/>
              <w:rPr>
                <w:sz w:val="20"/>
                <w:szCs w:val="20"/>
                <w:color w:val="auto"/>
              </w:rPr>
            </w:pPr>
            <w:r>
              <w:rPr>
                <w:rFonts w:ascii="Times New Roman" w:cs="Times New Roman" w:eastAsia="Times New Roman" w:hAnsi="Times New Roman"/>
                <w:sz w:val="18"/>
                <w:szCs w:val="18"/>
                <w:color w:val="auto"/>
              </w:rPr>
              <w:t>9.25 %</w:t>
            </w:r>
          </w:p>
        </w:tc>
        <w:tc>
          <w:tcPr>
            <w:tcW w:w="380" w:type="dxa"/>
            <w:vAlign w:val="bottom"/>
            <w:shd w:val="clear" w:color="auto" w:fill="F8F4F1"/>
          </w:tcPr>
          <w:p>
            <w:pPr>
              <w:spacing w:after="0"/>
              <w:rPr>
                <w:sz w:val="21"/>
                <w:szCs w:val="21"/>
                <w:color w:val="auto"/>
              </w:rPr>
            </w:pPr>
          </w:p>
        </w:tc>
        <w:tc>
          <w:tcPr>
            <w:tcW w:w="1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7/20/2028</w:t>
            </w:r>
          </w:p>
        </w:tc>
        <w:tc>
          <w:tcPr>
            <w:tcW w:w="36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6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F8F4F1"/>
          </w:tcPr>
          <w:p>
            <w:pPr>
              <w:spacing w:after="0"/>
              <w:rPr>
                <w:sz w:val="21"/>
                <w:szCs w:val="21"/>
                <w:color w:val="auto"/>
              </w:rPr>
            </w:pPr>
          </w:p>
        </w:tc>
        <w:tc>
          <w:tcPr>
            <w:tcW w:w="9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287,258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$400 Million Unsecured Senior Notes due 2029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380" w:type="dxa"/>
            <w:vAlign w:val="bottom"/>
          </w:tcPr>
          <w:p>
            <w:pPr>
              <w:spacing w:after="0"/>
              <w:rPr>
                <w:sz w:val="21"/>
                <w:szCs w:val="21"/>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7.11 %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7/15/2029</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83"/>
        </w:trPr>
        <w:tc>
          <w:tcPr>
            <w:tcW w:w="4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w w:val="99"/>
              </w:rPr>
              <w:t>$300</w:t>
            </w:r>
          </w:p>
        </w:tc>
        <w:tc>
          <w:tcPr>
            <w:tcW w:w="3720" w:type="dxa"/>
            <w:vAlign w:val="bottom"/>
            <w:gridSpan w:val="4"/>
            <w:shd w:val="clear" w:color="auto" w:fill="F8F4F1"/>
          </w:tcPr>
          <w:p>
            <w:pPr>
              <w:ind w:left="40"/>
              <w:spacing w:after="0"/>
              <w:rPr>
                <w:sz w:val="20"/>
                <w:szCs w:val="20"/>
                <w:color w:val="auto"/>
              </w:rPr>
            </w:pPr>
            <w:r>
              <w:rPr>
                <w:rFonts w:ascii="Times New Roman" w:cs="Times New Roman" w:eastAsia="Times New Roman" w:hAnsi="Times New Roman"/>
                <w:sz w:val="18"/>
                <w:szCs w:val="18"/>
                <w:color w:val="auto"/>
              </w:rPr>
              <w:t>Million Unsecured Senior Notes due 2030</w:t>
            </w:r>
          </w:p>
        </w:tc>
        <w:tc>
          <w:tcPr>
            <w:tcW w:w="12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380" w:type="dxa"/>
            <w:vAlign w:val="bottom"/>
            <w:shd w:val="clear" w:color="auto" w:fill="F8F4F1"/>
          </w:tcPr>
          <w:p>
            <w:pPr>
              <w:spacing w:after="0"/>
              <w:rPr>
                <w:sz w:val="24"/>
                <w:szCs w:val="24"/>
                <w:color w:val="auto"/>
              </w:rPr>
            </w:pPr>
          </w:p>
        </w:tc>
        <w:tc>
          <w:tcPr>
            <w:tcW w:w="1040" w:type="dxa"/>
            <w:vAlign w:val="bottom"/>
            <w:shd w:val="clear" w:color="auto" w:fill="F8F4F1"/>
          </w:tcPr>
          <w:p>
            <w:pPr>
              <w:ind w:left="500"/>
              <w:spacing w:after="0"/>
              <w:rPr>
                <w:sz w:val="20"/>
                <w:szCs w:val="20"/>
                <w:color w:val="auto"/>
              </w:rPr>
            </w:pPr>
            <w:r>
              <w:rPr>
                <w:rFonts w:ascii="Times New Roman" w:cs="Times New Roman" w:eastAsia="Times New Roman" w:hAnsi="Times New Roman"/>
                <w:sz w:val="18"/>
                <w:szCs w:val="18"/>
                <w:color w:val="auto"/>
              </w:rPr>
              <w:t>3.90 %</w:t>
            </w:r>
          </w:p>
        </w:tc>
        <w:tc>
          <w:tcPr>
            <w:tcW w:w="380" w:type="dxa"/>
            <w:vAlign w:val="bottom"/>
            <w:shd w:val="clear" w:color="auto" w:fill="F8F4F1"/>
          </w:tcPr>
          <w:p>
            <w:pPr>
              <w:spacing w:after="0"/>
              <w:rPr>
                <w:sz w:val="24"/>
                <w:szCs w:val="24"/>
                <w:color w:val="auto"/>
              </w:rPr>
            </w:pPr>
          </w:p>
        </w:tc>
        <w:tc>
          <w:tcPr>
            <w:tcW w:w="1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8/15/2030</w:t>
            </w:r>
          </w:p>
        </w:tc>
        <w:tc>
          <w:tcPr>
            <w:tcW w:w="360" w:type="dxa"/>
            <w:vAlign w:val="bottom"/>
            <w:shd w:val="clear" w:color="auto" w:fill="F8F4F1"/>
          </w:tcPr>
          <w:p>
            <w:pPr>
              <w:spacing w:after="0"/>
              <w:rPr>
                <w:sz w:val="24"/>
                <w:szCs w:val="24"/>
                <w:color w:val="auto"/>
              </w:rPr>
            </w:pPr>
          </w:p>
        </w:tc>
        <w:tc>
          <w:tcPr>
            <w:tcW w:w="140" w:type="dxa"/>
            <w:vAlign w:val="bottom"/>
            <w:shd w:val="clear" w:color="auto" w:fill="F8F4F1"/>
          </w:tcPr>
          <w:p>
            <w:pPr>
              <w:spacing w:after="0"/>
              <w:rPr>
                <w:sz w:val="24"/>
                <w:szCs w:val="24"/>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80" w:type="dxa"/>
            <w:vAlign w:val="bottom"/>
            <w:shd w:val="clear" w:color="auto" w:fill="F8F4F1"/>
          </w:tcPr>
          <w:p>
            <w:pPr>
              <w:spacing w:after="0"/>
              <w:rPr>
                <w:sz w:val="24"/>
                <w:szCs w:val="24"/>
                <w:color w:val="auto"/>
              </w:rPr>
            </w:pPr>
          </w:p>
        </w:tc>
        <w:tc>
          <w:tcPr>
            <w:tcW w:w="280" w:type="dxa"/>
            <w:vAlign w:val="bottom"/>
            <w:shd w:val="clear" w:color="auto" w:fill="F8F4F1"/>
          </w:tcPr>
          <w:p>
            <w:pPr>
              <w:spacing w:after="0"/>
              <w:rPr>
                <w:sz w:val="24"/>
                <w:szCs w:val="24"/>
                <w:color w:val="auto"/>
              </w:rPr>
            </w:pPr>
          </w:p>
        </w:tc>
        <w:tc>
          <w:tcPr>
            <w:tcW w:w="9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$230</w:t>
            </w:r>
          </w:p>
        </w:tc>
        <w:tc>
          <w:tcPr>
            <w:tcW w:w="3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Million Exchangeable Senior Notes due 2031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380" w:type="dxa"/>
            <w:vAlign w:val="bottom"/>
          </w:tcPr>
          <w:p>
            <w:pPr>
              <w:spacing w:after="0"/>
              <w:rPr>
                <w:sz w:val="21"/>
                <w:szCs w:val="21"/>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2.88 %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w w:val="99"/>
              </w:rPr>
              <w:t>$300</w:t>
            </w:r>
          </w:p>
        </w:tc>
        <w:tc>
          <w:tcPr>
            <w:tcW w:w="3720" w:type="dxa"/>
            <w:vAlign w:val="bottom"/>
            <w:gridSpan w:val="4"/>
            <w:shd w:val="clear" w:color="auto" w:fill="F8F4F1"/>
          </w:tcPr>
          <w:p>
            <w:pPr>
              <w:ind w:left="40"/>
              <w:spacing w:after="0"/>
              <w:rPr>
                <w:sz w:val="20"/>
                <w:szCs w:val="20"/>
                <w:color w:val="auto"/>
              </w:rPr>
            </w:pPr>
            <w:r>
              <w:rPr>
                <w:rFonts w:ascii="Times New Roman" w:cs="Times New Roman" w:eastAsia="Times New Roman" w:hAnsi="Times New Roman"/>
                <w:sz w:val="18"/>
                <w:szCs w:val="18"/>
                <w:color w:val="auto"/>
              </w:rPr>
              <w:t>Million Unsecured Senior Notes due 2032</w:t>
            </w:r>
          </w:p>
        </w:tc>
        <w:tc>
          <w:tcPr>
            <w:tcW w:w="12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380" w:type="dxa"/>
            <w:vAlign w:val="bottom"/>
            <w:shd w:val="clear" w:color="auto" w:fill="F8F4F1"/>
          </w:tcPr>
          <w:p>
            <w:pPr>
              <w:spacing w:after="0"/>
              <w:rPr>
                <w:sz w:val="24"/>
                <w:szCs w:val="24"/>
                <w:color w:val="auto"/>
              </w:rPr>
            </w:pPr>
          </w:p>
        </w:tc>
        <w:tc>
          <w:tcPr>
            <w:tcW w:w="1040" w:type="dxa"/>
            <w:vAlign w:val="bottom"/>
            <w:shd w:val="clear" w:color="auto" w:fill="F8F4F1"/>
          </w:tcPr>
          <w:p>
            <w:pPr>
              <w:ind w:left="500"/>
              <w:spacing w:after="0"/>
              <w:rPr>
                <w:sz w:val="20"/>
                <w:szCs w:val="20"/>
                <w:color w:val="auto"/>
              </w:rPr>
            </w:pPr>
            <w:r>
              <w:rPr>
                <w:rFonts w:ascii="Times New Roman" w:cs="Times New Roman" w:eastAsia="Times New Roman" w:hAnsi="Times New Roman"/>
                <w:sz w:val="18"/>
                <w:szCs w:val="18"/>
                <w:color w:val="auto"/>
              </w:rPr>
              <w:t>2.78 %</w:t>
            </w:r>
          </w:p>
        </w:tc>
        <w:tc>
          <w:tcPr>
            <w:tcW w:w="380" w:type="dxa"/>
            <w:vAlign w:val="bottom"/>
            <w:shd w:val="clear" w:color="auto" w:fill="F8F4F1"/>
          </w:tcPr>
          <w:p>
            <w:pPr>
              <w:spacing w:after="0"/>
              <w:rPr>
                <w:sz w:val="24"/>
                <w:szCs w:val="24"/>
                <w:color w:val="auto"/>
              </w:rPr>
            </w:pPr>
          </w:p>
        </w:tc>
        <w:tc>
          <w:tcPr>
            <w:tcW w:w="1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4/1/2032</w:t>
            </w:r>
          </w:p>
        </w:tc>
        <w:tc>
          <w:tcPr>
            <w:tcW w:w="360" w:type="dxa"/>
            <w:vAlign w:val="bottom"/>
            <w:shd w:val="clear" w:color="auto" w:fill="F8F4F1"/>
          </w:tcPr>
          <w:p>
            <w:pPr>
              <w:spacing w:after="0"/>
              <w:rPr>
                <w:sz w:val="24"/>
                <w:szCs w:val="24"/>
                <w:color w:val="auto"/>
              </w:rPr>
            </w:pPr>
          </w:p>
        </w:tc>
        <w:tc>
          <w:tcPr>
            <w:tcW w:w="140" w:type="dxa"/>
            <w:vAlign w:val="bottom"/>
            <w:shd w:val="clear" w:color="auto" w:fill="F8F4F1"/>
          </w:tcPr>
          <w:p>
            <w:pPr>
              <w:spacing w:after="0"/>
              <w:rPr>
                <w:sz w:val="24"/>
                <w:szCs w:val="24"/>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80" w:type="dxa"/>
            <w:vAlign w:val="bottom"/>
            <w:shd w:val="clear" w:color="auto" w:fill="F8F4F1"/>
          </w:tcPr>
          <w:p>
            <w:pPr>
              <w:spacing w:after="0"/>
              <w:rPr>
                <w:sz w:val="24"/>
                <w:szCs w:val="24"/>
                <w:color w:val="auto"/>
              </w:rPr>
            </w:pPr>
          </w:p>
        </w:tc>
        <w:tc>
          <w:tcPr>
            <w:tcW w:w="280" w:type="dxa"/>
            <w:vAlign w:val="bottom"/>
            <w:shd w:val="clear" w:color="auto" w:fill="F8F4F1"/>
          </w:tcPr>
          <w:p>
            <w:pPr>
              <w:spacing w:after="0"/>
              <w:rPr>
                <w:sz w:val="24"/>
                <w:szCs w:val="24"/>
                <w:color w:val="auto"/>
              </w:rPr>
            </w:pPr>
          </w:p>
        </w:tc>
        <w:tc>
          <w:tcPr>
            <w:tcW w:w="9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43"/>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$400</w:t>
            </w:r>
          </w:p>
        </w:tc>
        <w:tc>
          <w:tcPr>
            <w:tcW w:w="3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Million Unsecured Senior Notes due 2033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380" w:type="dxa"/>
            <w:vAlign w:val="bottom"/>
          </w:tcPr>
          <w:p>
            <w:pPr>
              <w:spacing w:after="0"/>
              <w:rPr>
                <w:sz w:val="21"/>
                <w:szCs w:val="21"/>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5.73 %</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1/15/2033</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4100" w:type="dxa"/>
            <w:vAlign w:val="bottom"/>
            <w:gridSpan w:val="5"/>
            <w:shd w:val="clear" w:color="auto" w:fill="F8F4F1"/>
          </w:tcPr>
          <w:p>
            <w:pPr>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1280" w:type="dxa"/>
            <w:vAlign w:val="bottom"/>
            <w:shd w:val="clear" w:color="auto" w:fill="F8F4F1"/>
          </w:tcPr>
          <w:p>
            <w:pPr>
              <w:spacing w:after="0"/>
              <w:rPr>
                <w:sz w:val="21"/>
                <w:szCs w:val="21"/>
                <w:color w:val="auto"/>
              </w:rPr>
            </w:pPr>
          </w:p>
        </w:tc>
        <w:tc>
          <w:tcPr>
            <w:tcW w:w="38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380" w:type="dxa"/>
            <w:vAlign w:val="bottom"/>
            <w:shd w:val="clear" w:color="auto" w:fill="F8F4F1"/>
          </w:tcPr>
          <w:p>
            <w:pPr>
              <w:spacing w:after="0"/>
              <w:rPr>
                <w:sz w:val="21"/>
                <w:szCs w:val="21"/>
                <w:color w:val="auto"/>
              </w:rPr>
            </w:pPr>
          </w:p>
        </w:tc>
        <w:tc>
          <w:tcPr>
            <w:tcW w:w="1160" w:type="dxa"/>
            <w:vAlign w:val="bottom"/>
            <w:shd w:val="clear" w:color="auto" w:fill="F8F4F1"/>
          </w:tcPr>
          <w:p>
            <w:pPr>
              <w:spacing w:after="0"/>
              <w:rPr>
                <w:sz w:val="21"/>
                <w:szCs w:val="21"/>
                <w:color w:val="auto"/>
              </w:rPr>
            </w:pPr>
          </w:p>
        </w:tc>
        <w:tc>
          <w:tcPr>
            <w:tcW w:w="36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(27,182)</w:t>
            </w:r>
          </w:p>
        </w:tc>
        <w:tc>
          <w:tcPr>
            <w:tcW w:w="80" w:type="dxa"/>
            <w:vAlign w:val="bottom"/>
            <w:shd w:val="clear" w:color="auto" w:fill="F8F4F1"/>
          </w:tcPr>
          <w:p>
            <w:pPr>
              <w:spacing w:after="0"/>
              <w:rPr>
                <w:sz w:val="21"/>
                <w:szCs w:val="21"/>
                <w:color w:val="auto"/>
              </w:rPr>
            </w:pPr>
          </w:p>
        </w:tc>
        <w:tc>
          <w:tcPr>
            <w:tcW w:w="280" w:type="dxa"/>
            <w:vAlign w:val="bottom"/>
            <w:tcBorders>
              <w:bottom w:val="single" w:sz="8" w:color="auto"/>
            </w:tcBorders>
            <w:shd w:val="clear" w:color="auto" w:fill="F8F4F1"/>
          </w:tcPr>
          <w:p>
            <w:pPr>
              <w:spacing w:after="0"/>
              <w:rPr>
                <w:sz w:val="21"/>
                <w:szCs w:val="21"/>
                <w:color w:val="auto"/>
              </w:rPr>
            </w:pPr>
          </w:p>
        </w:tc>
        <w:tc>
          <w:tcPr>
            <w:tcW w:w="9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0" w:type="dxa"/>
            <w:vAlign w:val="bottom"/>
          </w:tcPr>
          <w:p>
            <w:pPr>
              <w:spacing w:after="0"/>
              <w:rPr>
                <w:sz w:val="1"/>
                <w:szCs w:val="1"/>
                <w:color w:val="auto"/>
              </w:rPr>
            </w:pPr>
          </w:p>
        </w:tc>
      </w:tr>
      <w:tr>
        <w:trPr>
          <w:trHeight w:val="237"/>
        </w:trPr>
        <w:tc>
          <w:tcPr>
            <w:tcW w:w="20" w:type="dxa"/>
            <w:vAlign w:val="bottom"/>
            <w:tcBorders>
              <w:bottom w:val="single" w:sz="8" w:color="F8F4F1"/>
            </w:tcBorders>
          </w:tcPr>
          <w:p>
            <w:pPr>
              <w:spacing w:after="0"/>
              <w:rPr>
                <w:sz w:val="20"/>
                <w:szCs w:val="20"/>
                <w:color w:val="auto"/>
              </w:rPr>
            </w:pPr>
          </w:p>
        </w:tc>
        <w:tc>
          <w:tcPr>
            <w:tcW w:w="380" w:type="dxa"/>
            <w:vAlign w:val="bottom"/>
            <w:tcBorders>
              <w:bottom w:val="single" w:sz="8" w:color="F8F4F1"/>
            </w:tcBorders>
          </w:tcPr>
          <w:p>
            <w:pPr>
              <w:spacing w:after="0"/>
              <w:rPr>
                <w:sz w:val="20"/>
                <w:szCs w:val="20"/>
                <w:color w:val="auto"/>
              </w:rPr>
            </w:pPr>
          </w:p>
        </w:tc>
        <w:tc>
          <w:tcPr>
            <w:tcW w:w="3720" w:type="dxa"/>
            <w:vAlign w:val="bottom"/>
            <w:tcBorders>
              <w:bottom w:val="single" w:sz="8" w:color="F8F4F1"/>
            </w:tcBorders>
            <w:gridSpan w:val="4"/>
          </w:tcPr>
          <w:p>
            <w:pPr>
              <w:ind w:left="280"/>
              <w:spacing w:after="0"/>
              <w:rPr>
                <w:sz w:val="20"/>
                <w:szCs w:val="20"/>
                <w:color w:val="auto"/>
              </w:rPr>
            </w:pPr>
            <w:r>
              <w:rPr>
                <w:rFonts w:ascii="Times New Roman" w:cs="Times New Roman" w:eastAsia="Times New Roman" w:hAnsi="Times New Roman"/>
                <w:sz w:val="18"/>
                <w:szCs w:val="18"/>
                <w:color w:val="auto"/>
              </w:rPr>
              <w:t>Subtotal/Weighted Average</w:t>
            </w:r>
          </w:p>
        </w:tc>
        <w:tc>
          <w:tcPr>
            <w:tcW w:w="1280" w:type="dxa"/>
            <w:vAlign w:val="bottom"/>
            <w:tcBorders>
              <w:bottom w:val="single" w:sz="8" w:color="F8F4F1"/>
            </w:tcBorders>
          </w:tcPr>
          <w:p>
            <w:pPr>
              <w:spacing w:after="0"/>
              <w:rPr>
                <w:sz w:val="20"/>
                <w:szCs w:val="20"/>
                <w:color w:val="auto"/>
              </w:rPr>
            </w:pPr>
          </w:p>
        </w:tc>
        <w:tc>
          <w:tcPr>
            <w:tcW w:w="380" w:type="dxa"/>
            <w:vAlign w:val="bottom"/>
            <w:tcBorders>
              <w:bottom w:val="single" w:sz="8" w:color="F8F4F1"/>
            </w:tcBorders>
          </w:tcPr>
          <w:p>
            <w:pPr>
              <w:spacing w:after="0"/>
              <w:rPr>
                <w:sz w:val="20"/>
                <w:szCs w:val="20"/>
                <w:color w:val="auto"/>
              </w:rPr>
            </w:pPr>
          </w:p>
        </w:tc>
        <w:tc>
          <w:tcPr>
            <w:tcW w:w="1040" w:type="dxa"/>
            <w:vAlign w:val="bottom"/>
            <w:tcBorders>
              <w:bottom w:val="single" w:sz="8" w:color="F8F4F1"/>
            </w:tcBorders>
          </w:tcPr>
          <w:p>
            <w:pPr>
              <w:ind w:left="500"/>
              <w:spacing w:after="0"/>
              <w:rPr>
                <w:sz w:val="20"/>
                <w:szCs w:val="20"/>
                <w:color w:val="auto"/>
              </w:rPr>
            </w:pPr>
            <w:r>
              <w:rPr>
                <w:rFonts w:ascii="Times New Roman" w:cs="Times New Roman" w:eastAsia="Times New Roman" w:hAnsi="Times New Roman"/>
                <w:sz w:val="18"/>
                <w:szCs w:val="18"/>
                <w:color w:val="auto"/>
              </w:rPr>
              <w:t>4.83 %</w:t>
            </w:r>
          </w:p>
        </w:tc>
        <w:tc>
          <w:tcPr>
            <w:tcW w:w="380" w:type="dxa"/>
            <w:vAlign w:val="bottom"/>
            <w:tcBorders>
              <w:bottom w:val="single" w:sz="8" w:color="F8F4F1"/>
            </w:tcBorders>
          </w:tcPr>
          <w:p>
            <w:pPr>
              <w:spacing w:after="0"/>
              <w:rPr>
                <w:sz w:val="20"/>
                <w:szCs w:val="20"/>
                <w:color w:val="auto"/>
              </w:rPr>
            </w:pPr>
          </w:p>
        </w:tc>
        <w:tc>
          <w:tcPr>
            <w:tcW w:w="1160" w:type="dxa"/>
            <w:vAlign w:val="bottom"/>
            <w:tcBorders>
              <w:bottom w:val="single" w:sz="8" w:color="F8F4F1"/>
            </w:tcBorders>
          </w:tcPr>
          <w:p>
            <w:pPr>
              <w:spacing w:after="0"/>
              <w:rPr>
                <w:sz w:val="20"/>
                <w:szCs w:val="20"/>
                <w:color w:val="auto"/>
              </w:rPr>
            </w:pPr>
          </w:p>
        </w:tc>
        <w:tc>
          <w:tcPr>
            <w:tcW w:w="360" w:type="dxa"/>
            <w:vAlign w:val="bottom"/>
            <w:tcBorders>
              <w:bottom w:val="single" w:sz="8" w:color="F8F4F1"/>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2,154,818</w:t>
            </w:r>
          </w:p>
        </w:tc>
        <w:tc>
          <w:tcPr>
            <w:tcW w:w="80" w:type="dxa"/>
            <w:vAlign w:val="bottom"/>
            <w:tcBorders>
              <w:bottom w:val="single" w:sz="8" w:color="F8F4F1"/>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2,035,890</w:t>
            </w:r>
          </w:p>
        </w:tc>
        <w:tc>
          <w:tcPr>
            <w:tcW w:w="0" w:type="dxa"/>
            <w:vAlign w:val="bottom"/>
          </w:tcPr>
          <w:p>
            <w:pPr>
              <w:spacing w:after="0"/>
              <w:rPr>
                <w:sz w:val="1"/>
                <w:szCs w:val="1"/>
                <w:color w:val="auto"/>
              </w:rPr>
            </w:pPr>
          </w:p>
        </w:tc>
      </w:tr>
      <w:tr>
        <w:trPr>
          <w:trHeight w:val="262"/>
        </w:trPr>
        <w:tc>
          <w:tcPr>
            <w:tcW w:w="20" w:type="dxa"/>
            <w:vAlign w:val="bottom"/>
            <w:tcBorders>
              <w:bottom w:val="single" w:sz="8" w:color="F8F4F1"/>
            </w:tcBorders>
            <w:shd w:val="clear" w:color="auto" w:fill="F8F4F1"/>
          </w:tcPr>
          <w:p>
            <w:pPr>
              <w:spacing w:after="0"/>
              <w:rPr>
                <w:sz w:val="22"/>
                <w:szCs w:val="22"/>
                <w:color w:val="auto"/>
              </w:rPr>
            </w:pPr>
          </w:p>
        </w:tc>
        <w:tc>
          <w:tcPr>
            <w:tcW w:w="380" w:type="dxa"/>
            <w:vAlign w:val="bottom"/>
            <w:tcBorders>
              <w:bottom w:val="single" w:sz="8" w:color="F8F4F1"/>
            </w:tcBorders>
            <w:shd w:val="clear" w:color="auto" w:fill="F8F4F1"/>
          </w:tcPr>
          <w:p>
            <w:pPr>
              <w:spacing w:after="0"/>
              <w:rPr>
                <w:sz w:val="22"/>
                <w:szCs w:val="22"/>
                <w:color w:val="auto"/>
              </w:rPr>
            </w:pPr>
          </w:p>
        </w:tc>
        <w:tc>
          <w:tcPr>
            <w:tcW w:w="3720" w:type="dxa"/>
            <w:vAlign w:val="bottom"/>
            <w:tcBorders>
              <w:bottom w:val="single" w:sz="8" w:color="F8F4F1"/>
            </w:tcBorders>
            <w:gridSpan w:val="4"/>
            <w:shd w:val="clear" w:color="auto" w:fill="F8F4F1"/>
          </w:tcPr>
          <w:p>
            <w:pPr>
              <w:ind w:left="280"/>
              <w:spacing w:after="0"/>
              <w:rPr>
                <w:sz w:val="20"/>
                <w:szCs w:val="20"/>
                <w:color w:val="auto"/>
              </w:rPr>
            </w:pPr>
            <w:r>
              <w:rPr>
                <w:rFonts w:ascii="Times New Roman" w:cs="Times New Roman" w:eastAsia="Times New Roman" w:hAnsi="Times New Roman"/>
                <w:sz w:val="18"/>
                <w:szCs w:val="18"/>
                <w:color w:val="auto"/>
              </w:rPr>
              <w:t>Total/Weighted Average</w:t>
            </w:r>
          </w:p>
        </w:tc>
        <w:tc>
          <w:tcPr>
            <w:tcW w:w="1280" w:type="dxa"/>
            <w:vAlign w:val="bottom"/>
            <w:tcBorders>
              <w:bottom w:val="single" w:sz="8" w:color="F8F4F1"/>
            </w:tcBorders>
            <w:shd w:val="clear" w:color="auto" w:fill="F8F4F1"/>
          </w:tcPr>
          <w:p>
            <w:pPr>
              <w:spacing w:after="0"/>
              <w:rPr>
                <w:sz w:val="22"/>
                <w:szCs w:val="22"/>
                <w:color w:val="auto"/>
              </w:rPr>
            </w:pPr>
          </w:p>
        </w:tc>
        <w:tc>
          <w:tcPr>
            <w:tcW w:w="380" w:type="dxa"/>
            <w:vAlign w:val="bottom"/>
            <w:tcBorders>
              <w:bottom w:val="single" w:sz="8" w:color="F8F4F1"/>
            </w:tcBorders>
            <w:shd w:val="clear" w:color="auto" w:fill="F8F4F1"/>
          </w:tcPr>
          <w:p>
            <w:pPr>
              <w:spacing w:after="0"/>
              <w:rPr>
                <w:sz w:val="22"/>
                <w:szCs w:val="22"/>
                <w:color w:val="auto"/>
              </w:rPr>
            </w:pPr>
          </w:p>
        </w:tc>
        <w:tc>
          <w:tcPr>
            <w:tcW w:w="1040" w:type="dxa"/>
            <w:vAlign w:val="bottom"/>
            <w:tcBorders>
              <w:bottom w:val="single" w:sz="8" w:color="F8F4F1"/>
            </w:tcBorders>
            <w:shd w:val="clear" w:color="auto" w:fill="F8F4F1"/>
          </w:tcPr>
          <w:p>
            <w:pPr>
              <w:ind w:left="500"/>
              <w:spacing w:after="0"/>
              <w:rPr>
                <w:sz w:val="20"/>
                <w:szCs w:val="20"/>
                <w:color w:val="auto"/>
              </w:rPr>
            </w:pPr>
            <w:r>
              <w:rPr>
                <w:rFonts w:ascii="Times New Roman" w:cs="Times New Roman" w:eastAsia="Times New Roman" w:hAnsi="Times New Roman"/>
                <w:sz w:val="18"/>
                <w:szCs w:val="18"/>
                <w:color w:val="auto"/>
              </w:rPr>
              <w:t>4.78 %</w:t>
            </w:r>
          </w:p>
        </w:tc>
        <w:tc>
          <w:tcPr>
            <w:tcW w:w="380" w:type="dxa"/>
            <w:vAlign w:val="bottom"/>
            <w:tcBorders>
              <w:bottom w:val="single" w:sz="8" w:color="F8F4F1"/>
            </w:tcBorders>
            <w:shd w:val="clear" w:color="auto" w:fill="F8F4F1"/>
          </w:tcPr>
          <w:p>
            <w:pPr>
              <w:spacing w:after="0"/>
              <w:rPr>
                <w:sz w:val="22"/>
                <w:szCs w:val="22"/>
                <w:color w:val="auto"/>
              </w:rPr>
            </w:pPr>
          </w:p>
        </w:tc>
        <w:tc>
          <w:tcPr>
            <w:tcW w:w="1160" w:type="dxa"/>
            <w:vAlign w:val="bottom"/>
            <w:tcBorders>
              <w:bottom w:val="single" w:sz="8" w:color="F8F4F1"/>
            </w:tcBorders>
            <w:shd w:val="clear" w:color="auto" w:fill="F8F4F1"/>
          </w:tcPr>
          <w:p>
            <w:pPr>
              <w:spacing w:after="0"/>
              <w:rPr>
                <w:sz w:val="22"/>
                <w:szCs w:val="22"/>
                <w:color w:val="auto"/>
              </w:rPr>
            </w:pPr>
          </w:p>
        </w:tc>
        <w:tc>
          <w:tcPr>
            <w:tcW w:w="360" w:type="dxa"/>
            <w:vAlign w:val="bottom"/>
            <w:tcBorders>
              <w:bottom w:val="single" w:sz="8" w:color="F8F4F1"/>
            </w:tcBorders>
            <w:shd w:val="clear" w:color="auto" w:fill="F8F4F1"/>
          </w:tcPr>
          <w:p>
            <w:pPr>
              <w:spacing w:after="0"/>
              <w:rPr>
                <w:sz w:val="22"/>
                <w:szCs w:val="22"/>
                <w:color w:val="auto"/>
              </w:rPr>
            </w:pPr>
          </w:p>
        </w:tc>
        <w:tc>
          <w:tcPr>
            <w:tcW w:w="1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2,340,841</w:t>
            </w:r>
          </w:p>
        </w:tc>
        <w:tc>
          <w:tcPr>
            <w:tcW w:w="80" w:type="dxa"/>
            <w:vAlign w:val="bottom"/>
            <w:tcBorders>
              <w:bottom w:val="single" w:sz="8" w:color="F8F4F1"/>
            </w:tcBorders>
            <w:shd w:val="clear" w:color="auto" w:fill="F8F4F1"/>
          </w:tcPr>
          <w:p>
            <w:pPr>
              <w:spacing w:after="0"/>
              <w:rPr>
                <w:sz w:val="22"/>
                <w:szCs w:val="22"/>
                <w:color w:val="auto"/>
              </w:rPr>
            </w:pPr>
          </w:p>
        </w:tc>
        <w:tc>
          <w:tcPr>
            <w:tcW w:w="280" w:type="dxa"/>
            <w:vAlign w:val="bottom"/>
            <w:tcBorders>
              <w:bottom w:val="single" w:sz="8" w:color="auto"/>
            </w:tcBorders>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2,224,712</w:t>
            </w:r>
          </w:p>
        </w:tc>
        <w:tc>
          <w:tcPr>
            <w:tcW w:w="0" w:type="dxa"/>
            <w:vAlign w:val="bottom"/>
          </w:tcPr>
          <w:p>
            <w:pPr>
              <w:spacing w:after="0"/>
              <w:rPr>
                <w:sz w:val="1"/>
                <w:szCs w:val="1"/>
                <w:color w:val="auto"/>
              </w:rPr>
            </w:pPr>
          </w:p>
        </w:tc>
      </w:tr>
      <w:tr>
        <w:trPr>
          <w:trHeight w:val="20"/>
        </w:trPr>
        <w:tc>
          <w:tcPr>
            <w:tcW w:w="20" w:type="dxa"/>
            <w:vAlign w:val="bottom"/>
            <w:tcBorders>
              <w:top w:val="single" w:sz="8" w:color="F8F4F1"/>
            </w:tcBorders>
          </w:tcPr>
          <w:p>
            <w:pPr>
              <w:spacing w:after="0" w:line="20" w:lineRule="exact"/>
              <w:rPr>
                <w:sz w:val="1"/>
                <w:szCs w:val="1"/>
                <w:color w:val="auto"/>
              </w:rPr>
            </w:pPr>
          </w:p>
        </w:tc>
        <w:tc>
          <w:tcPr>
            <w:tcW w:w="380" w:type="dxa"/>
            <w:vAlign w:val="bottom"/>
            <w:tcBorders>
              <w:top w:val="single" w:sz="8" w:color="F8F4F1"/>
            </w:tcBorders>
          </w:tcPr>
          <w:p>
            <w:pPr>
              <w:spacing w:after="0" w:line="20" w:lineRule="exact"/>
              <w:rPr>
                <w:sz w:val="1"/>
                <w:szCs w:val="1"/>
                <w:color w:val="auto"/>
              </w:rPr>
            </w:pPr>
          </w:p>
        </w:tc>
        <w:tc>
          <w:tcPr>
            <w:tcW w:w="780" w:type="dxa"/>
            <w:vAlign w:val="bottom"/>
            <w:tcBorders>
              <w:top w:val="single" w:sz="8" w:color="F8F4F1"/>
            </w:tcBorders>
          </w:tcPr>
          <w:p>
            <w:pPr>
              <w:spacing w:after="0" w:line="20" w:lineRule="exact"/>
              <w:rPr>
                <w:sz w:val="1"/>
                <w:szCs w:val="1"/>
                <w:color w:val="auto"/>
              </w:rPr>
            </w:pPr>
          </w:p>
        </w:tc>
        <w:tc>
          <w:tcPr>
            <w:tcW w:w="1160" w:type="dxa"/>
            <w:vAlign w:val="bottom"/>
            <w:tcBorders>
              <w:top w:val="single" w:sz="8" w:color="F8F4F1"/>
            </w:tcBorders>
          </w:tcPr>
          <w:p>
            <w:pPr>
              <w:spacing w:after="0" w:line="20" w:lineRule="exact"/>
              <w:rPr>
                <w:sz w:val="1"/>
                <w:szCs w:val="1"/>
                <w:color w:val="auto"/>
              </w:rPr>
            </w:pPr>
          </w:p>
        </w:tc>
        <w:tc>
          <w:tcPr>
            <w:tcW w:w="1680" w:type="dxa"/>
            <w:vAlign w:val="bottom"/>
            <w:tcBorders>
              <w:top w:val="single" w:sz="8" w:color="F8F4F1"/>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1280" w:type="dxa"/>
            <w:vAlign w:val="bottom"/>
            <w:tcBorders>
              <w:top w:val="single" w:sz="8" w:color="F8F4F1"/>
            </w:tcBorders>
          </w:tcPr>
          <w:p>
            <w:pPr>
              <w:spacing w:after="0" w:line="20" w:lineRule="exact"/>
              <w:rPr>
                <w:sz w:val="1"/>
                <w:szCs w:val="1"/>
                <w:color w:val="auto"/>
              </w:rPr>
            </w:pPr>
          </w:p>
        </w:tc>
        <w:tc>
          <w:tcPr>
            <w:tcW w:w="380" w:type="dxa"/>
            <w:vAlign w:val="bottom"/>
            <w:tcBorders>
              <w:top w:val="single" w:sz="8" w:color="F8F4F1"/>
            </w:tcBorders>
          </w:tcPr>
          <w:p>
            <w:pPr>
              <w:spacing w:after="0" w:line="20" w:lineRule="exact"/>
              <w:rPr>
                <w:sz w:val="1"/>
                <w:szCs w:val="1"/>
                <w:color w:val="auto"/>
              </w:rPr>
            </w:pPr>
          </w:p>
        </w:tc>
        <w:tc>
          <w:tcPr>
            <w:tcW w:w="1040" w:type="dxa"/>
            <w:vAlign w:val="bottom"/>
            <w:tcBorders>
              <w:top w:val="single" w:sz="8" w:color="F8F4F1"/>
            </w:tcBorders>
          </w:tcPr>
          <w:p>
            <w:pPr>
              <w:spacing w:after="0" w:line="20" w:lineRule="exact"/>
              <w:rPr>
                <w:sz w:val="1"/>
                <w:szCs w:val="1"/>
                <w:color w:val="auto"/>
              </w:rPr>
            </w:pPr>
          </w:p>
        </w:tc>
        <w:tc>
          <w:tcPr>
            <w:tcW w:w="380" w:type="dxa"/>
            <w:vAlign w:val="bottom"/>
            <w:tcBorders>
              <w:top w:val="single" w:sz="8" w:color="F8F4F1"/>
            </w:tcBorders>
          </w:tcPr>
          <w:p>
            <w:pPr>
              <w:spacing w:after="0" w:line="20" w:lineRule="exact"/>
              <w:rPr>
                <w:sz w:val="1"/>
                <w:szCs w:val="1"/>
                <w:color w:val="auto"/>
              </w:rPr>
            </w:pPr>
          </w:p>
        </w:tc>
        <w:tc>
          <w:tcPr>
            <w:tcW w:w="1160" w:type="dxa"/>
            <w:vAlign w:val="bottom"/>
            <w:tcBorders>
              <w:top w:val="single" w:sz="8" w:color="F8F4F1"/>
            </w:tcBorders>
          </w:tcPr>
          <w:p>
            <w:pPr>
              <w:spacing w:after="0" w:line="20" w:lineRule="exact"/>
              <w:rPr>
                <w:sz w:val="1"/>
                <w:szCs w:val="1"/>
                <w:color w:val="auto"/>
              </w:rPr>
            </w:pPr>
          </w:p>
        </w:tc>
        <w:tc>
          <w:tcPr>
            <w:tcW w:w="360" w:type="dxa"/>
            <w:vAlign w:val="bottom"/>
            <w:tcBorders>
              <w:top w:val="single" w:sz="8" w:color="F8F4F1"/>
            </w:tcBorders>
          </w:tcPr>
          <w:p>
            <w:pPr>
              <w:spacing w:after="0" w:line="20" w:lineRule="exact"/>
              <w:rPr>
                <w:sz w:val="1"/>
                <w:szCs w:val="1"/>
                <w:color w:val="auto"/>
              </w:rPr>
            </w:pPr>
          </w:p>
        </w:tc>
        <w:tc>
          <w:tcPr>
            <w:tcW w:w="140" w:type="dxa"/>
            <w:vAlign w:val="bottom"/>
            <w:tcBorders>
              <w:top w:val="single" w:sz="8" w:color="F8F4F1"/>
              <w:bottom w:val="single" w:sz="8" w:color="auto"/>
            </w:tcBorders>
          </w:tcPr>
          <w:p>
            <w:pPr>
              <w:spacing w:after="0" w:line="20" w:lineRule="exact"/>
              <w:rPr>
                <w:sz w:val="1"/>
                <w:szCs w:val="1"/>
                <w:color w:val="auto"/>
              </w:rPr>
            </w:pPr>
          </w:p>
        </w:tc>
        <w:tc>
          <w:tcPr>
            <w:tcW w:w="1080" w:type="dxa"/>
            <w:vAlign w:val="bottom"/>
            <w:tcBorders>
              <w:top w:val="single" w:sz="8" w:color="F8F4F1"/>
              <w:bottom w:val="single" w:sz="8" w:color="auto"/>
            </w:tcBorders>
          </w:tcPr>
          <w:p>
            <w:pPr>
              <w:spacing w:after="0" w:line="20" w:lineRule="exact"/>
              <w:rPr>
                <w:sz w:val="1"/>
                <w:szCs w:val="1"/>
                <w:color w:val="auto"/>
              </w:rPr>
            </w:pPr>
          </w:p>
        </w:tc>
        <w:tc>
          <w:tcPr>
            <w:tcW w:w="80" w:type="dxa"/>
            <w:vAlign w:val="bottom"/>
            <w:tcBorders>
              <w:top w:val="single" w:sz="8" w:color="F8F4F1"/>
            </w:tcBorders>
          </w:tcPr>
          <w:p>
            <w:pPr>
              <w:spacing w:after="0" w:line="20" w:lineRule="exact"/>
              <w:rPr>
                <w:sz w:val="1"/>
                <w:szCs w:val="1"/>
                <w:color w:val="auto"/>
              </w:rPr>
            </w:pPr>
          </w:p>
        </w:tc>
        <w:tc>
          <w:tcPr>
            <w:tcW w:w="280" w:type="dxa"/>
            <w:vAlign w:val="bottom"/>
            <w:tcBorders>
              <w:top w:val="single" w:sz="8" w:color="F8F4F1"/>
              <w:bottom w:val="single" w:sz="8" w:color="auto"/>
            </w:tcBorders>
          </w:tcPr>
          <w:p>
            <w:pPr>
              <w:spacing w:after="0" w:line="20" w:lineRule="exact"/>
              <w:rPr>
                <w:sz w:val="1"/>
                <w:szCs w:val="1"/>
                <w:color w:val="auto"/>
              </w:rPr>
            </w:pPr>
          </w:p>
        </w:tc>
        <w:tc>
          <w:tcPr>
            <w:tcW w:w="94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660" w:hanging="652"/>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of Piedmont’s outstanding debt as of September 30, 2026 is unsecured and interest-only until maturity, except for the $197 Million Fixed Rate Mortgage, which is secured by 1180 Peachtree Street.</w:t>
      </w:r>
    </w:p>
    <w:p>
      <w:pPr>
        <w:spacing w:after="0" w:line="1" w:lineRule="exact"/>
        <w:rPr>
          <w:rFonts w:ascii="Times New Roman" w:cs="Times New Roman" w:eastAsia="Times New Roman" w:hAnsi="Times New Roman"/>
          <w:sz w:val="21"/>
          <w:szCs w:val="21"/>
          <w:color w:val="auto"/>
          <w:vertAlign w:val="superscript"/>
        </w:rPr>
      </w:pPr>
    </w:p>
    <w:p>
      <w:pPr>
        <w:ind w:left="640" w:hanging="632"/>
        <w:spacing w:after="0"/>
        <w:tabs>
          <w:tab w:leader="none" w:pos="6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rate after consideration of settled or in-place interest rate swap agreements and issuance discounts.</w:t>
      </w:r>
    </w:p>
    <w:p>
      <w:pPr>
        <w:spacing w:after="0" w:line="64" w:lineRule="exact"/>
        <w:rPr>
          <w:rFonts w:ascii="Times New Roman" w:cs="Times New Roman" w:eastAsia="Times New Roman" w:hAnsi="Times New Roman"/>
          <w:sz w:val="21"/>
          <w:szCs w:val="21"/>
          <w:color w:val="auto"/>
          <w:vertAlign w:val="superscript"/>
        </w:rPr>
      </w:pPr>
    </w:p>
    <w:p>
      <w:pPr>
        <w:jc w:val="both"/>
        <w:ind w:left="660" w:right="20" w:hanging="652"/>
        <w:spacing w:after="0" w:line="230"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all-in interest rates associated with the SOFR selections are comprised of the base SOFR interest rate and a stated interest rate spread that can vary from 0.72% to 1.40% on the $600 Million Unsecured 2022 Line of Credit and </w:t>
      </w:r>
      <w:r>
        <w:rPr>
          <w:rFonts w:ascii="Times New Roman" w:cs="Times New Roman" w:eastAsia="Times New Roman" w:hAnsi="Times New Roman"/>
          <w:sz w:val="17"/>
          <w:szCs w:val="17"/>
          <w:color w:val="auto"/>
        </w:rPr>
        <w:t>0.75%</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7"/>
          <w:szCs w:val="17"/>
          <w:color w:val="auto"/>
        </w:rPr>
        <w:t>1.55%</w:t>
      </w:r>
      <w:r>
        <w:rPr>
          <w:rFonts w:ascii="Times New Roman" w:cs="Times New Roman" w:eastAsia="Times New Roman" w:hAnsi="Times New Roman"/>
          <w:sz w:val="16"/>
          <w:szCs w:val="16"/>
          <w:color w:val="auto"/>
        </w:rPr>
        <w:t xml:space="preserve"> on the $400 Million Unsecured 2026 Term Loan based upon the then current credit rating (as defined in the respective loan agreement) of Piedmont or Piedmont OP.</w:t>
      </w:r>
    </w:p>
    <w:p>
      <w:pPr>
        <w:spacing w:after="0" w:line="48" w:lineRule="exact"/>
        <w:rPr>
          <w:rFonts w:ascii="Times New Roman" w:cs="Times New Roman" w:eastAsia="Times New Roman" w:hAnsi="Times New Roman"/>
          <w:sz w:val="21"/>
          <w:szCs w:val="21"/>
          <w:color w:val="auto"/>
          <w:vertAlign w:val="superscript"/>
        </w:rPr>
      </w:pPr>
    </w:p>
    <w:p>
      <w:pPr>
        <w:ind w:left="660" w:hanging="652"/>
        <w:spacing w:after="0" w:line="225"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 periodic basis, Piedmont may select from multiple interest rate options, including the prime rate and various-length SOFR locks on all or a portion of the principal.</w:t>
      </w:r>
    </w:p>
    <w:p>
      <w:pPr>
        <w:spacing w:after="0" w:line="33" w:lineRule="exact"/>
        <w:rPr>
          <w:rFonts w:ascii="Times New Roman" w:cs="Times New Roman" w:eastAsia="Times New Roman" w:hAnsi="Times New Roman"/>
          <w:sz w:val="21"/>
          <w:szCs w:val="21"/>
          <w:color w:val="auto"/>
          <w:vertAlign w:val="superscript"/>
        </w:rPr>
      </w:pPr>
    </w:p>
    <w:p>
      <w:pPr>
        <w:ind w:left="660" w:hanging="652"/>
        <w:spacing w:after="0" w:line="232"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Piedmont may extend the term of the $600 Million Unsecured 2022 Line of Credit for up to two additional years (through two available one-year extensions to a final extended maturity date of June 30, 2030); provided that Piedmont is not then in default and upon payment of extension fees.</w:t>
      </w:r>
    </w:p>
    <w:p>
      <w:pPr>
        <w:spacing w:after="0" w:line="34" w:lineRule="exact"/>
        <w:rPr>
          <w:rFonts w:ascii="Times New Roman" w:cs="Times New Roman" w:eastAsia="Times New Roman" w:hAnsi="Times New Roman"/>
          <w:sz w:val="21"/>
          <w:szCs w:val="21"/>
          <w:color w:val="auto"/>
          <w:vertAlign w:val="superscript"/>
        </w:rPr>
      </w:pPr>
    </w:p>
    <w:p>
      <w:pPr>
        <w:jc w:val="both"/>
        <w:ind w:left="660" w:hanging="652"/>
        <w:spacing w:after="0" w:line="237" w:lineRule="auto"/>
        <w:tabs>
          <w:tab w:leader="none" w:pos="64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facility has a stated variable rate; however, Piedmont has entered into interest rate swap agreements which effectively fix, subject to changes to Piedmont's credit rating (as defined in the term loan agreement), $200 million of the principal balance at a 4.94% interest rate through June 1, 2028. The rate presented is the weighted-average rate for the effectively fixed and variable portions of the debt outstanding as of September 30, 2026 (see </w:t>
      </w:r>
      <w:r>
        <w:rPr>
          <w:rFonts w:ascii="Times New Roman" w:cs="Times New Roman" w:eastAsia="Times New Roman" w:hAnsi="Times New Roman"/>
          <w:sz w:val="16"/>
          <w:szCs w:val="16"/>
          <w:u w:val="single" w:color="auto"/>
          <w:color w:val="0000FF"/>
        </w:rPr>
        <w:t>Note 5</w:t>
      </w:r>
      <w:r>
        <w:rPr>
          <w:rFonts w:ascii="Times New Roman" w:cs="Times New Roman" w:eastAsia="Times New Roman" w:hAnsi="Times New Roman"/>
          <w:sz w:val="16"/>
          <w:szCs w:val="16"/>
          <w:color w:val="auto"/>
        </w:rPr>
        <w:t>).</w:t>
      </w: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Piedmont made interest payments on all debt facilities, including interest rate swap cash settlements, of approximately $58.5 million and $52.2 million for the three months ended September 30, 2026 and 2025, respectively, and approximately $109.0 million and $121.1 million for the nine months ended September 30, 2026 and 2025, respectively. Also, Piedmont capitalized interest of approximately $0.8 million and $2.9 million for the three months ended September 30, 2026 and 2025, respectively, and $2.9 million and $9.3 million for the nine months ended September 30, 2026 and 2025, respectively. As of September 30, 2026, Piedmont believes it was in compliance with all financial covenants associated with its debt instruments.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for a description of Piedmont’s estimated fair value of debt as of September 30, 2026.</w:t>
      </w:r>
    </w:p>
    <w:p>
      <w:pPr>
        <w:spacing w:after="0" w:line="3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Derivative Instruments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operational risks which arise in the normal course of business, Piedmont is exposed to economic risks such as interest rate, liquidity, and credit risk. From time to time, Piedmont has entered into derivative financial instruments, specifically interest rate swap agreements, to manage interest rate risk exposure arising from current or future variable rate debt transactions. Piedmont’s objective in using interest rate derivatives is to add stability to interest expense and to manage its exposure to interest rate movements.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swaps designated as cash flow hedges involve the receipt of variable-rate amounts from a counterparty in exchange for Piedmont making fixed-rate payments over the life of the agreements without exchange of the underlying notional amount.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Piedmont entered into three interest rate swap agreements in conjunction with the recast and upsize of the $400 Million Unsecured 2026 Term Loan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above) to hedge $200 million of the principal balance through June 1, 2028. Piedmont's interest rate swap agreements are designated as effective cash flow hedges and are indexed to SOFR. As of September 30, 2026, the maximum length of time over which Piedmont is hedging its exposure to the variability in future cash flows for forecasted transactions is 20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Piedmont’s interest rate derivatives outstanding as of September 30, 2026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Derivatives:</w:t>
            </w:r>
          </w:p>
        </w:tc>
        <w:tc>
          <w:tcPr>
            <w:tcW w:w="120" w:type="dxa"/>
            <w:vAlign w:val="bottom"/>
            <w:vMerge w:val="restart"/>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Swap</w:t>
            </w:r>
          </w:p>
        </w:tc>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Associated Debt Instrument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3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0" w:type="dxa"/>
            <w:vAlign w:val="bottom"/>
            <w:vMerge w:val="restart"/>
          </w:tcPr>
          <w:p>
            <w:pPr>
              <w:spacing w:after="0"/>
              <w:rPr>
                <w:sz w:val="13"/>
                <w:szCs w:val="13"/>
                <w:color w:val="auto"/>
              </w:rPr>
            </w:pPr>
          </w:p>
        </w:tc>
        <w:tc>
          <w:tcPr>
            <w:tcW w:w="13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F8F4F1"/>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Borders>
              <w:bottom w:val="single" w:sz="8" w:color="F8F4F1"/>
            </w:tcBorders>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8F4F1"/>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F8F4F1"/>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8F4F1"/>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F8F4F1"/>
          </w:tcPr>
          <w:p>
            <w:pPr>
              <w:spacing w:after="0"/>
              <w:rPr>
                <w:sz w:val="16"/>
                <w:szCs w:val="16"/>
                <w:color w:val="auto"/>
              </w:rPr>
            </w:pPr>
          </w:p>
        </w:tc>
        <w:tc>
          <w:tcPr>
            <w:tcW w:w="120" w:type="dxa"/>
            <w:vAlign w:val="bottom"/>
            <w:shd w:val="clear" w:color="auto" w:fill="F8F4F1"/>
          </w:tcPr>
          <w:p>
            <w:pPr>
              <w:spacing w:after="0"/>
              <w:rPr>
                <w:sz w:val="16"/>
                <w:szCs w:val="16"/>
                <w:color w:val="auto"/>
              </w:rPr>
            </w:pPr>
          </w:p>
        </w:tc>
        <w:tc>
          <w:tcPr>
            <w:tcW w:w="1220" w:type="dxa"/>
            <w:vAlign w:val="bottom"/>
            <w:shd w:val="clear" w:color="auto" w:fill="F8F4F1"/>
          </w:tcPr>
          <w:p>
            <w:pPr>
              <w:spacing w:after="0"/>
              <w:rPr>
                <w:sz w:val="16"/>
                <w:szCs w:val="16"/>
                <w:color w:val="auto"/>
              </w:rPr>
            </w:pPr>
          </w:p>
        </w:tc>
        <w:tc>
          <w:tcPr>
            <w:tcW w:w="100" w:type="dxa"/>
            <w:vAlign w:val="bottom"/>
            <w:shd w:val="clear" w:color="auto" w:fill="F8F4F1"/>
          </w:tcPr>
          <w:p>
            <w:pPr>
              <w:spacing w:after="0"/>
              <w:rPr>
                <w:sz w:val="16"/>
                <w:szCs w:val="16"/>
                <w:color w:val="auto"/>
              </w:rPr>
            </w:pPr>
          </w:p>
        </w:tc>
        <w:tc>
          <w:tcPr>
            <w:tcW w:w="3060" w:type="dxa"/>
            <w:vAlign w:val="bottom"/>
            <w:gridSpan w:val="2"/>
            <w:shd w:val="clear" w:color="auto" w:fill="F8F4F1"/>
          </w:tcPr>
          <w:p>
            <w:pPr>
              <w:ind w:left="20"/>
              <w:spacing w:after="0" w:line="188" w:lineRule="exact"/>
              <w:rPr>
                <w:sz w:val="20"/>
                <w:szCs w:val="20"/>
                <w:color w:val="auto"/>
              </w:rPr>
            </w:pPr>
            <w:r>
              <w:rPr>
                <w:rFonts w:ascii="Times New Roman" w:cs="Times New Roman" w:eastAsia="Times New Roman" w:hAnsi="Times New Roman"/>
                <w:sz w:val="18"/>
                <w:szCs w:val="18"/>
                <w:color w:val="auto"/>
              </w:rPr>
              <w:t>$400 Million Unsecured 2026 Term</w:t>
            </w:r>
          </w:p>
        </w:tc>
        <w:tc>
          <w:tcPr>
            <w:tcW w:w="180" w:type="dxa"/>
            <w:vAlign w:val="bottom"/>
            <w:shd w:val="clear" w:color="auto" w:fill="F8F4F1"/>
          </w:tcPr>
          <w:p>
            <w:pPr>
              <w:spacing w:after="0"/>
              <w:rPr>
                <w:sz w:val="16"/>
                <w:szCs w:val="16"/>
                <w:color w:val="auto"/>
              </w:rPr>
            </w:pPr>
          </w:p>
        </w:tc>
        <w:tc>
          <w:tcPr>
            <w:tcW w:w="1400" w:type="dxa"/>
            <w:vAlign w:val="bottom"/>
            <w:shd w:val="clear" w:color="auto" w:fill="F8F4F1"/>
          </w:tcPr>
          <w:p>
            <w:pPr>
              <w:spacing w:after="0"/>
              <w:rPr>
                <w:sz w:val="16"/>
                <w:szCs w:val="16"/>
                <w:color w:val="auto"/>
              </w:rPr>
            </w:pPr>
          </w:p>
        </w:tc>
        <w:tc>
          <w:tcPr>
            <w:tcW w:w="100" w:type="dxa"/>
            <w:vAlign w:val="bottom"/>
            <w:shd w:val="clear" w:color="auto" w:fill="F8F4F1"/>
          </w:tcPr>
          <w:p>
            <w:pPr>
              <w:spacing w:after="0"/>
              <w:rPr>
                <w:sz w:val="16"/>
                <w:szCs w:val="16"/>
                <w:color w:val="auto"/>
              </w:rPr>
            </w:pPr>
          </w:p>
        </w:tc>
        <w:tc>
          <w:tcPr>
            <w:tcW w:w="1360" w:type="dxa"/>
            <w:vAlign w:val="bottom"/>
            <w:shd w:val="clear" w:color="auto" w:fill="F8F4F1"/>
          </w:tcPr>
          <w:p>
            <w:pPr>
              <w:spacing w:after="0"/>
              <w:rPr>
                <w:sz w:val="16"/>
                <w:szCs w:val="16"/>
                <w:color w:val="auto"/>
              </w:rPr>
            </w:pPr>
          </w:p>
        </w:tc>
        <w:tc>
          <w:tcPr>
            <w:tcW w:w="100" w:type="dxa"/>
            <w:vAlign w:val="bottom"/>
            <w:shd w:val="clear" w:color="auto" w:fill="F8F4F1"/>
          </w:tcPr>
          <w:p>
            <w:pPr>
              <w:spacing w:after="0"/>
              <w:rPr>
                <w:sz w:val="16"/>
                <w:szCs w:val="16"/>
                <w:color w:val="auto"/>
              </w:rPr>
            </w:pPr>
          </w:p>
        </w:tc>
        <w:tc>
          <w:tcPr>
            <w:tcW w:w="136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6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shd w:val="clear" w:color="auto" w:fill="F8F4F1"/>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F8F4F1"/>
          </w:tcPr>
          <w:p>
            <w:pPr>
              <w:spacing w:after="0"/>
              <w:rPr>
                <w:sz w:val="21"/>
                <w:szCs w:val="21"/>
                <w:color w:val="auto"/>
              </w:rPr>
            </w:pPr>
          </w:p>
        </w:tc>
        <w:tc>
          <w:tcPr>
            <w:tcW w:w="306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Loan</w:t>
            </w: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F8F4F1"/>
          </w:tcPr>
          <w:p>
            <w:pPr>
              <w:jc w:val="right"/>
              <w:ind w:right="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F8F4F1"/>
          </w:tcPr>
          <w:p>
            <w:pPr>
              <w:spacing w:after="0"/>
              <w:rPr>
                <w:sz w:val="21"/>
                <w:szCs w:val="21"/>
                <w:color w:val="auto"/>
              </w:rPr>
            </w:pPr>
          </w:p>
        </w:tc>
        <w:tc>
          <w:tcPr>
            <w:tcW w:w="13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6/1/2026</w:t>
            </w:r>
          </w:p>
        </w:tc>
        <w:tc>
          <w:tcPr>
            <w:tcW w:w="100" w:type="dxa"/>
            <w:vAlign w:val="bottom"/>
            <w:shd w:val="clear" w:color="auto" w:fill="F8F4F1"/>
          </w:tcPr>
          <w:p>
            <w:pPr>
              <w:spacing w:after="0"/>
              <w:rPr>
                <w:sz w:val="21"/>
                <w:szCs w:val="21"/>
                <w:color w:val="auto"/>
              </w:rPr>
            </w:pPr>
          </w:p>
        </w:tc>
        <w:tc>
          <w:tcPr>
            <w:tcW w:w="13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6/1/2028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Piedmont presents its interest rate derivatives on its consolidated balance sheets on a gross basis as interest rate swap assets and interest rate swap liabilities. A detail of Piedmont’s interest rate derivatives on a gross and net basis as of September 30, 2026 and December 31, 2025, respectively,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swaps classified as:</w:t>
            </w:r>
          </w:p>
        </w:tc>
        <w:tc>
          <w:tcPr>
            <w:tcW w:w="20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537"/>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557"/>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F8F4F1"/>
            </w:tcBorders>
          </w:tcPr>
          <w:p>
            <w:pPr>
              <w:spacing w:after="0"/>
              <w:rPr>
                <w:sz w:val="2"/>
                <w:szCs w:val="2"/>
                <w:color w:val="auto"/>
              </w:rPr>
            </w:pPr>
          </w:p>
        </w:tc>
        <w:tc>
          <w:tcPr>
            <w:tcW w:w="1980" w:type="dxa"/>
            <w:vAlign w:val="bottom"/>
            <w:tcBorders>
              <w:top w:val="single" w:sz="8" w:color="auto"/>
              <w:bottom w:val="single" w:sz="8" w:color="F8F4F1"/>
            </w:tcBorders>
          </w:tcPr>
          <w:p>
            <w:pPr>
              <w:spacing w:after="0"/>
              <w:rPr>
                <w:sz w:val="2"/>
                <w:szCs w:val="2"/>
                <w:color w:val="auto"/>
              </w:rPr>
            </w:pPr>
          </w:p>
        </w:tc>
        <w:tc>
          <w:tcPr>
            <w:tcW w:w="6020" w:type="dxa"/>
            <w:vAlign w:val="bottom"/>
            <w:tcBorders>
              <w:bottom w:val="single" w:sz="8" w:color="F8F4F1"/>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F8F4F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F8F4F1"/>
          </w:tcPr>
          <w:p>
            <w:pPr>
              <w:spacing w:after="0"/>
              <w:rPr>
                <w:sz w:val="20"/>
                <w:szCs w:val="20"/>
                <w:color w:val="auto"/>
              </w:rPr>
            </w:pPr>
          </w:p>
        </w:tc>
        <w:tc>
          <w:tcPr>
            <w:tcW w:w="8000" w:type="dxa"/>
            <w:vAlign w:val="bottom"/>
            <w:gridSpan w:val="2"/>
            <w:shd w:val="clear" w:color="auto" w:fill="F8F4F1"/>
          </w:tcPr>
          <w:p>
            <w:pPr>
              <w:spacing w:after="0"/>
              <w:rPr>
                <w:sz w:val="20"/>
                <w:szCs w:val="20"/>
                <w:color w:val="auto"/>
              </w:rPr>
            </w:pPr>
            <w:r>
              <w:rPr>
                <w:rFonts w:ascii="Times New Roman" w:cs="Times New Roman" w:eastAsia="Times New Roman" w:hAnsi="Times New Roman"/>
                <w:sz w:val="18"/>
                <w:szCs w:val="18"/>
                <w:color w:val="auto"/>
              </w:rPr>
              <w:t>Gross derivative assets</w:t>
            </w:r>
          </w:p>
        </w:tc>
        <w:tc>
          <w:tcPr>
            <w:tcW w:w="2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2,561</w:t>
            </w:r>
          </w:p>
        </w:tc>
        <w:tc>
          <w:tcPr>
            <w:tcW w:w="140" w:type="dxa"/>
            <w:vAlign w:val="bottom"/>
            <w:shd w:val="clear" w:color="auto" w:fill="F8F4F1"/>
          </w:tcPr>
          <w:p>
            <w:pPr>
              <w:spacing w:after="0"/>
              <w:rPr>
                <w:sz w:val="20"/>
                <w:szCs w:val="20"/>
                <w:color w:val="auto"/>
              </w:rPr>
            </w:pPr>
          </w:p>
        </w:tc>
        <w:tc>
          <w:tcPr>
            <w:tcW w:w="2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derivative liabilities</w:t>
            </w:r>
          </w:p>
        </w:tc>
        <w:tc>
          <w:tcPr>
            <w:tcW w:w="2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61"/>
        </w:trPr>
        <w:tc>
          <w:tcPr>
            <w:tcW w:w="20" w:type="dxa"/>
            <w:vAlign w:val="bottom"/>
            <w:tcBorders>
              <w:top w:val="single" w:sz="8" w:color="F8F4F1"/>
              <w:bottom w:val="single" w:sz="8" w:color="F8F4F1"/>
            </w:tcBorders>
            <w:shd w:val="clear" w:color="auto" w:fill="F8F4F1"/>
          </w:tcPr>
          <w:p>
            <w:pPr>
              <w:spacing w:after="0"/>
              <w:rPr>
                <w:sz w:val="22"/>
                <w:szCs w:val="22"/>
                <w:color w:val="auto"/>
              </w:rPr>
            </w:pPr>
          </w:p>
        </w:tc>
        <w:tc>
          <w:tcPr>
            <w:tcW w:w="8000" w:type="dxa"/>
            <w:vAlign w:val="bottom"/>
            <w:tcBorders>
              <w:top w:val="single" w:sz="8" w:color="F8F4F1"/>
              <w:bottom w:val="single" w:sz="8" w:color="F8F4F1"/>
            </w:tcBorders>
            <w:gridSpan w:val="2"/>
            <w:shd w:val="clear" w:color="auto" w:fill="F8F4F1"/>
          </w:tcPr>
          <w:p>
            <w:pPr>
              <w:spacing w:after="0"/>
              <w:rPr>
                <w:sz w:val="20"/>
                <w:szCs w:val="20"/>
                <w:color w:val="auto"/>
              </w:rPr>
            </w:pPr>
            <w:r>
              <w:rPr>
                <w:rFonts w:ascii="Times New Roman" w:cs="Times New Roman" w:eastAsia="Times New Roman" w:hAnsi="Times New Roman"/>
                <w:sz w:val="18"/>
                <w:szCs w:val="18"/>
                <w:color w:val="auto"/>
              </w:rPr>
              <w:t>Net derivative asset/(liability)</w:t>
            </w:r>
          </w:p>
        </w:tc>
        <w:tc>
          <w:tcPr>
            <w:tcW w:w="200" w:type="dxa"/>
            <w:vAlign w:val="bottom"/>
            <w:tcBorders>
              <w:top w:val="single" w:sz="8" w:color="auto"/>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2,561</w:t>
            </w:r>
          </w:p>
        </w:tc>
        <w:tc>
          <w:tcPr>
            <w:tcW w:w="140" w:type="dxa"/>
            <w:vAlign w:val="bottom"/>
            <w:tcBorders>
              <w:top w:val="single" w:sz="8" w:color="F8F4F1"/>
              <w:bottom w:val="single" w:sz="8" w:color="F8F4F1"/>
            </w:tcBorders>
            <w:shd w:val="clear" w:color="auto" w:fill="F8F4F1"/>
          </w:tcPr>
          <w:p>
            <w:pPr>
              <w:spacing w:after="0"/>
              <w:rPr>
                <w:sz w:val="22"/>
                <w:szCs w:val="22"/>
                <w:color w:val="auto"/>
              </w:rPr>
            </w:pPr>
          </w:p>
        </w:tc>
        <w:tc>
          <w:tcPr>
            <w:tcW w:w="220" w:type="dxa"/>
            <w:vAlign w:val="bottom"/>
            <w:tcBorders>
              <w:top w:val="single" w:sz="8" w:color="auto"/>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Borders>
              <w:top w:val="single" w:sz="8" w:color="F8F4F1"/>
            </w:tcBorders>
          </w:tcPr>
          <w:p>
            <w:pPr>
              <w:spacing w:after="0" w:line="20" w:lineRule="exact"/>
              <w:rPr>
                <w:sz w:val="1"/>
                <w:szCs w:val="1"/>
                <w:color w:val="auto"/>
              </w:rPr>
            </w:pPr>
          </w:p>
        </w:tc>
        <w:tc>
          <w:tcPr>
            <w:tcW w:w="1980" w:type="dxa"/>
            <w:vAlign w:val="bottom"/>
            <w:tcBorders>
              <w:top w:val="single" w:sz="8" w:color="F8F4F1"/>
            </w:tcBorders>
          </w:tcPr>
          <w:p>
            <w:pPr>
              <w:spacing w:after="0" w:line="20" w:lineRule="exact"/>
              <w:rPr>
                <w:sz w:val="1"/>
                <w:szCs w:val="1"/>
                <w:color w:val="auto"/>
              </w:rPr>
            </w:pPr>
          </w:p>
        </w:tc>
        <w:tc>
          <w:tcPr>
            <w:tcW w:w="602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320" w:type="dxa"/>
            <w:vAlign w:val="bottom"/>
            <w:tcBorders>
              <w:top w:val="single" w:sz="8" w:color="F8F4F1"/>
              <w:bottom w:val="single" w:sz="8" w:color="auto"/>
            </w:tcBorders>
          </w:tcPr>
          <w:p>
            <w:pPr>
              <w:spacing w:after="0" w:line="20" w:lineRule="exact"/>
              <w:rPr>
                <w:sz w:val="1"/>
                <w:szCs w:val="1"/>
                <w:color w:val="auto"/>
              </w:rPr>
            </w:pPr>
          </w:p>
        </w:tc>
        <w:tc>
          <w:tcPr>
            <w:tcW w:w="14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34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gain/(loss) on Piedmont's interest rate derivatives, including previously settled forward swaps, that was recorded in OCI and the accompanying consolidated statements of operations as a component of interest expense for the three and nine months ended September 30, 2026 and 2025, respectively, is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5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Swaps in Cash Flow Hedging Relationships</w:t>
            </w:r>
          </w:p>
        </w:tc>
        <w:tc>
          <w:tcPr>
            <w:tcW w:w="140" w:type="dxa"/>
            <w:vAlign w:val="bottom"/>
          </w:tcPr>
          <w:p>
            <w:pPr>
              <w:spacing w:after="0"/>
              <w:rPr>
                <w:sz w:val="12"/>
                <w:szCs w:val="12"/>
                <w:color w:val="auto"/>
              </w:rPr>
            </w:pPr>
          </w:p>
        </w:tc>
        <w:tc>
          <w:tcPr>
            <w:tcW w:w="12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2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2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40" w:type="dxa"/>
            <w:vAlign w:val="bottom"/>
          </w:tcPr>
          <w:p>
            <w:pPr>
              <w:jc w:val="right"/>
              <w:ind w:right="116"/>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398"/>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376"/>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58"/>
              <w:spacing w:after="0" w:line="127"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416"/>
              <w:spacing w:after="0" w:line="127"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F8F4F1"/>
            </w:tcBorders>
          </w:tcPr>
          <w:p>
            <w:pPr>
              <w:spacing w:after="0"/>
              <w:rPr>
                <w:sz w:val="2"/>
                <w:szCs w:val="2"/>
                <w:color w:val="auto"/>
              </w:rPr>
            </w:pPr>
          </w:p>
        </w:tc>
        <w:tc>
          <w:tcPr>
            <w:tcW w:w="3500" w:type="dxa"/>
            <w:vAlign w:val="bottom"/>
            <w:tcBorders>
              <w:top w:val="single" w:sz="8" w:color="auto"/>
              <w:bottom w:val="single" w:sz="8" w:color="F8F4F1"/>
            </w:tcBorders>
          </w:tcPr>
          <w:p>
            <w:pPr>
              <w:spacing w:after="0"/>
              <w:rPr>
                <w:sz w:val="2"/>
                <w:szCs w:val="2"/>
                <w:color w:val="auto"/>
              </w:rPr>
            </w:pPr>
          </w:p>
        </w:tc>
        <w:tc>
          <w:tcPr>
            <w:tcW w:w="238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F8F4F1"/>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F8F4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F8F4F1"/>
          </w:tcPr>
          <w:p>
            <w:pPr>
              <w:spacing w:after="0"/>
              <w:rPr>
                <w:sz w:val="20"/>
                <w:szCs w:val="20"/>
                <w:color w:val="auto"/>
              </w:rPr>
            </w:pPr>
          </w:p>
        </w:tc>
        <w:tc>
          <w:tcPr>
            <w:tcW w:w="5880" w:type="dxa"/>
            <w:vAlign w:val="bottom"/>
            <w:gridSpan w:val="2"/>
            <w:shd w:val="clear" w:color="auto" w:fill="F8F4F1"/>
          </w:tcPr>
          <w:p>
            <w:pPr>
              <w:spacing w:after="0"/>
              <w:rPr>
                <w:sz w:val="20"/>
                <w:szCs w:val="20"/>
                <w:color w:val="auto"/>
              </w:rPr>
            </w:pPr>
            <w:r>
              <w:rPr>
                <w:rFonts w:ascii="Times New Roman" w:cs="Times New Roman" w:eastAsia="Times New Roman" w:hAnsi="Times New Roman"/>
                <w:sz w:val="18"/>
                <w:szCs w:val="18"/>
                <w:color w:val="auto"/>
              </w:rPr>
              <w:t>Amount of gain recognized in OCI</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1,960</w:t>
            </w:r>
          </w:p>
        </w:tc>
        <w:tc>
          <w:tcPr>
            <w:tcW w:w="140" w:type="dxa"/>
            <w:vAlign w:val="bottom"/>
            <w:shd w:val="clear" w:color="auto" w:fill="F8F4F1"/>
          </w:tcPr>
          <w:p>
            <w:pPr>
              <w:spacing w:after="0"/>
              <w:rPr>
                <w:sz w:val="20"/>
                <w:szCs w:val="20"/>
                <w:color w:val="auto"/>
              </w:rPr>
            </w:pP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F8F4F1"/>
          </w:tcPr>
          <w:p>
            <w:pPr>
              <w:spacing w:after="0"/>
              <w:rPr>
                <w:sz w:val="20"/>
                <w:szCs w:val="20"/>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2,458</w:t>
            </w:r>
          </w:p>
        </w:tc>
        <w:tc>
          <w:tcPr>
            <w:tcW w:w="140" w:type="dxa"/>
            <w:vAlign w:val="bottom"/>
            <w:shd w:val="clear" w:color="auto" w:fill="F8F4F1"/>
          </w:tcPr>
          <w:p>
            <w:pPr>
              <w:spacing w:after="0"/>
              <w:rPr>
                <w:sz w:val="20"/>
                <w:szCs w:val="20"/>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previously recorded loss reclassified from OCI into 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70"/>
        </w:trPr>
        <w:tc>
          <w:tcPr>
            <w:tcW w:w="20" w:type="dxa"/>
            <w:vAlign w:val="bottom"/>
            <w:shd w:val="clear" w:color="auto" w:fill="F8F4F1"/>
          </w:tcPr>
          <w:p>
            <w:pPr>
              <w:spacing w:after="0"/>
              <w:rPr>
                <w:sz w:val="23"/>
                <w:szCs w:val="23"/>
                <w:color w:val="auto"/>
              </w:rPr>
            </w:pPr>
          </w:p>
        </w:tc>
        <w:tc>
          <w:tcPr>
            <w:tcW w:w="3500" w:type="dxa"/>
            <w:vAlign w:val="bottom"/>
            <w:shd w:val="clear" w:color="auto" w:fill="F8F4F1"/>
          </w:tcPr>
          <w:p>
            <w:pPr>
              <w:spacing w:after="0"/>
              <w:rPr>
                <w:sz w:val="23"/>
                <w:szCs w:val="23"/>
                <w:color w:val="auto"/>
              </w:rPr>
            </w:pPr>
          </w:p>
        </w:tc>
        <w:tc>
          <w:tcPr>
            <w:tcW w:w="2380" w:type="dxa"/>
            <w:vAlign w:val="bottom"/>
            <w:shd w:val="clear" w:color="auto" w:fill="F8F4F1"/>
          </w:tcPr>
          <w:p>
            <w:pPr>
              <w:spacing w:after="0"/>
              <w:rPr>
                <w:sz w:val="23"/>
                <w:szCs w:val="23"/>
                <w:color w:val="auto"/>
              </w:rPr>
            </w:pPr>
          </w:p>
        </w:tc>
        <w:tc>
          <w:tcPr>
            <w:tcW w:w="140" w:type="dxa"/>
            <w:vAlign w:val="bottom"/>
            <w:shd w:val="clear" w:color="auto" w:fill="F8F4F1"/>
          </w:tcPr>
          <w:p>
            <w:pPr>
              <w:spacing w:after="0"/>
              <w:rPr>
                <w:sz w:val="23"/>
                <w:szCs w:val="23"/>
                <w:color w:val="auto"/>
              </w:rPr>
            </w:pPr>
          </w:p>
        </w:tc>
        <w:tc>
          <w:tcPr>
            <w:tcW w:w="1100" w:type="dxa"/>
            <w:vAlign w:val="bottom"/>
            <w:shd w:val="clear" w:color="auto" w:fill="F8F4F1"/>
          </w:tcPr>
          <w:p>
            <w:pPr>
              <w:spacing w:after="0"/>
              <w:rPr>
                <w:sz w:val="23"/>
                <w:szCs w:val="23"/>
                <w:color w:val="auto"/>
              </w:rPr>
            </w:pPr>
          </w:p>
        </w:tc>
        <w:tc>
          <w:tcPr>
            <w:tcW w:w="140" w:type="dxa"/>
            <w:vAlign w:val="bottom"/>
            <w:shd w:val="clear" w:color="auto" w:fill="F8F4F1"/>
          </w:tcPr>
          <w:p>
            <w:pPr>
              <w:spacing w:after="0"/>
              <w:rPr>
                <w:sz w:val="23"/>
                <w:szCs w:val="23"/>
                <w:color w:val="auto"/>
              </w:rPr>
            </w:pPr>
          </w:p>
        </w:tc>
        <w:tc>
          <w:tcPr>
            <w:tcW w:w="120" w:type="dxa"/>
            <w:vAlign w:val="bottom"/>
            <w:shd w:val="clear" w:color="auto" w:fill="F8F4F1"/>
          </w:tcPr>
          <w:p>
            <w:pPr>
              <w:spacing w:after="0"/>
              <w:rPr>
                <w:sz w:val="23"/>
                <w:szCs w:val="23"/>
                <w:color w:val="auto"/>
              </w:rPr>
            </w:pPr>
          </w:p>
        </w:tc>
        <w:tc>
          <w:tcPr>
            <w:tcW w:w="1080" w:type="dxa"/>
            <w:vAlign w:val="bottom"/>
            <w:shd w:val="clear" w:color="auto" w:fill="F8F4F1"/>
          </w:tcPr>
          <w:p>
            <w:pPr>
              <w:spacing w:after="0"/>
              <w:rPr>
                <w:sz w:val="23"/>
                <w:szCs w:val="23"/>
                <w:color w:val="auto"/>
              </w:rPr>
            </w:pPr>
          </w:p>
        </w:tc>
        <w:tc>
          <w:tcPr>
            <w:tcW w:w="120" w:type="dxa"/>
            <w:vAlign w:val="bottom"/>
            <w:shd w:val="clear" w:color="auto" w:fill="F8F4F1"/>
          </w:tcPr>
          <w:p>
            <w:pPr>
              <w:spacing w:after="0"/>
              <w:rPr>
                <w:sz w:val="23"/>
                <w:szCs w:val="23"/>
                <w:color w:val="auto"/>
              </w:rPr>
            </w:pPr>
          </w:p>
        </w:tc>
        <w:tc>
          <w:tcPr>
            <w:tcW w:w="140" w:type="dxa"/>
            <w:vAlign w:val="bottom"/>
            <w:shd w:val="clear" w:color="auto" w:fill="F8F4F1"/>
          </w:tcPr>
          <w:p>
            <w:pPr>
              <w:spacing w:after="0"/>
              <w:rPr>
                <w:sz w:val="23"/>
                <w:szCs w:val="23"/>
                <w:color w:val="auto"/>
              </w:rPr>
            </w:pPr>
          </w:p>
        </w:tc>
        <w:tc>
          <w:tcPr>
            <w:tcW w:w="1060" w:type="dxa"/>
            <w:vAlign w:val="bottom"/>
            <w:shd w:val="clear" w:color="auto" w:fill="F8F4F1"/>
          </w:tcPr>
          <w:p>
            <w:pPr>
              <w:spacing w:after="0"/>
              <w:rPr>
                <w:sz w:val="23"/>
                <w:szCs w:val="23"/>
                <w:color w:val="auto"/>
              </w:rPr>
            </w:pPr>
          </w:p>
        </w:tc>
        <w:tc>
          <w:tcPr>
            <w:tcW w:w="140" w:type="dxa"/>
            <w:vAlign w:val="bottom"/>
            <w:shd w:val="clear" w:color="auto" w:fill="F8F4F1"/>
          </w:tcPr>
          <w:p>
            <w:pPr>
              <w:spacing w:after="0"/>
              <w:rPr>
                <w:sz w:val="23"/>
                <w:szCs w:val="23"/>
                <w:color w:val="auto"/>
              </w:rPr>
            </w:pPr>
          </w:p>
        </w:tc>
        <w:tc>
          <w:tcPr>
            <w:tcW w:w="160" w:type="dxa"/>
            <w:vAlign w:val="bottom"/>
            <w:shd w:val="clear" w:color="auto" w:fill="F8F4F1"/>
          </w:tcPr>
          <w:p>
            <w:pPr>
              <w:spacing w:after="0"/>
              <w:rPr>
                <w:sz w:val="23"/>
                <w:szCs w:val="23"/>
                <w:color w:val="auto"/>
              </w:rPr>
            </w:pPr>
          </w:p>
        </w:tc>
        <w:tc>
          <w:tcPr>
            <w:tcW w:w="1140" w:type="dxa"/>
            <w:vAlign w:val="bottom"/>
            <w:shd w:val="clear" w:color="auto" w:fill="F8F4F1"/>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Total amount of interest expense presented in the consolidated statements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(32,026)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(95,829)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c>
          <w:tcPr>
            <w:tcW w:w="12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(95,599)</w:t>
            </w:r>
          </w:p>
        </w:tc>
        <w:tc>
          <w:tcPr>
            <w:tcW w:w="0" w:type="dxa"/>
            <w:vAlign w:val="bottom"/>
          </w:tcPr>
          <w:p>
            <w:pPr>
              <w:spacing w:after="0"/>
              <w:rPr>
                <w:sz w:val="1"/>
                <w:szCs w:val="1"/>
                <w:color w:val="auto"/>
              </w:rPr>
            </w:pPr>
          </w:p>
        </w:tc>
      </w:tr>
      <w:tr>
        <w:trPr>
          <w:trHeight w:val="189"/>
        </w:trPr>
        <w:tc>
          <w:tcPr>
            <w:tcW w:w="20" w:type="dxa"/>
            <w:vAlign w:val="bottom"/>
            <w:shd w:val="clear" w:color="auto" w:fill="F8F4F1"/>
          </w:tcPr>
          <w:p>
            <w:pPr>
              <w:spacing w:after="0"/>
              <w:rPr>
                <w:sz w:val="16"/>
                <w:szCs w:val="16"/>
                <w:color w:val="auto"/>
              </w:rPr>
            </w:pPr>
          </w:p>
        </w:tc>
        <w:tc>
          <w:tcPr>
            <w:tcW w:w="5880" w:type="dxa"/>
            <w:vAlign w:val="bottom"/>
            <w:gridSpan w:val="2"/>
            <w:shd w:val="clear" w:color="auto" w:fill="F8F4F1"/>
          </w:tcPr>
          <w:p>
            <w:pPr>
              <w:spacing w:after="0" w:line="189" w:lineRule="exact"/>
              <w:rPr>
                <w:sz w:val="20"/>
                <w:szCs w:val="20"/>
                <w:color w:val="auto"/>
              </w:rPr>
            </w:pPr>
            <w:r>
              <w:rPr>
                <w:rFonts w:ascii="Times New Roman" w:cs="Times New Roman" w:eastAsia="Times New Roman" w:hAnsi="Times New Roman"/>
                <w:sz w:val="18"/>
                <w:szCs w:val="18"/>
                <w:color w:val="auto"/>
              </w:rPr>
              <w:t>Total amount of loss on early extinguishment of debt presented in the</w:t>
            </w:r>
          </w:p>
        </w:tc>
        <w:tc>
          <w:tcPr>
            <w:tcW w:w="14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40" w:type="dxa"/>
            <w:vAlign w:val="bottom"/>
            <w:shd w:val="clear" w:color="auto" w:fill="F8F4F1"/>
          </w:tcPr>
          <w:p>
            <w:pPr>
              <w:spacing w:after="0"/>
              <w:rPr>
                <w:sz w:val="16"/>
                <w:szCs w:val="16"/>
                <w:color w:val="auto"/>
              </w:rPr>
            </w:pPr>
          </w:p>
        </w:tc>
        <w:tc>
          <w:tcPr>
            <w:tcW w:w="120" w:type="dxa"/>
            <w:vAlign w:val="bottom"/>
            <w:shd w:val="clear" w:color="auto" w:fill="F8F4F1"/>
          </w:tcPr>
          <w:p>
            <w:pPr>
              <w:spacing w:after="0"/>
              <w:rPr>
                <w:sz w:val="16"/>
                <w:szCs w:val="16"/>
                <w:color w:val="auto"/>
              </w:rPr>
            </w:pPr>
          </w:p>
        </w:tc>
        <w:tc>
          <w:tcPr>
            <w:tcW w:w="1080" w:type="dxa"/>
            <w:vAlign w:val="bottom"/>
            <w:shd w:val="clear" w:color="auto" w:fill="F8F4F1"/>
          </w:tcPr>
          <w:p>
            <w:pPr>
              <w:spacing w:after="0"/>
              <w:rPr>
                <w:sz w:val="16"/>
                <w:szCs w:val="16"/>
                <w:color w:val="auto"/>
              </w:rPr>
            </w:pPr>
          </w:p>
        </w:tc>
        <w:tc>
          <w:tcPr>
            <w:tcW w:w="120" w:type="dxa"/>
            <w:vAlign w:val="bottom"/>
            <w:shd w:val="clear" w:color="auto" w:fill="F8F4F1"/>
          </w:tcPr>
          <w:p>
            <w:pPr>
              <w:spacing w:after="0"/>
              <w:rPr>
                <w:sz w:val="16"/>
                <w:szCs w:val="16"/>
                <w:color w:val="auto"/>
              </w:rPr>
            </w:pPr>
          </w:p>
        </w:tc>
        <w:tc>
          <w:tcPr>
            <w:tcW w:w="14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40" w:type="dxa"/>
            <w:vAlign w:val="bottom"/>
            <w:shd w:val="clear" w:color="auto" w:fill="F8F4F1"/>
          </w:tcPr>
          <w:p>
            <w:pPr>
              <w:spacing w:after="0"/>
              <w:rPr>
                <w:sz w:val="16"/>
                <w:szCs w:val="16"/>
                <w:color w:val="auto"/>
              </w:rPr>
            </w:pPr>
          </w:p>
        </w:tc>
        <w:tc>
          <w:tcPr>
            <w:tcW w:w="160" w:type="dxa"/>
            <w:vAlign w:val="bottom"/>
            <w:shd w:val="clear" w:color="auto" w:fill="F8F4F1"/>
          </w:tcPr>
          <w:p>
            <w:pPr>
              <w:spacing w:after="0"/>
              <w:rPr>
                <w:sz w:val="16"/>
                <w:szCs w:val="16"/>
                <w:color w:val="auto"/>
              </w:rPr>
            </w:pPr>
          </w:p>
        </w:tc>
        <w:tc>
          <w:tcPr>
            <w:tcW w:w="11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5880" w:type="dxa"/>
            <w:vAlign w:val="bottom"/>
            <w:gridSpan w:val="2"/>
            <w:shd w:val="clear" w:color="auto" w:fill="F8F4F1"/>
          </w:tcPr>
          <w:p>
            <w:pPr>
              <w:ind w:left="1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40" w:type="dxa"/>
            <w:vAlign w:val="bottom"/>
            <w:vMerge w:val="continue"/>
            <w:shd w:val="clear" w:color="auto" w:fill="F8F4F1"/>
          </w:tcPr>
          <w:p>
            <w:pPr>
              <w:spacing w:after="0"/>
              <w:rPr>
                <w:sz w:val="21"/>
                <w:szCs w:val="21"/>
                <w:color w:val="auto"/>
              </w:rPr>
            </w:pPr>
          </w:p>
        </w:tc>
        <w:tc>
          <w:tcPr>
            <w:tcW w:w="1100" w:type="dxa"/>
            <w:vAlign w:val="bottom"/>
            <w:vMerge w:val="continue"/>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F8F4F1"/>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shd w:val="clear" w:color="auto" w:fill="F8F4F1"/>
          </w:tcPr>
          <w:p>
            <w:pPr>
              <w:spacing w:after="0"/>
              <w:rPr>
                <w:sz w:val="21"/>
                <w:szCs w:val="21"/>
                <w:color w:val="auto"/>
              </w:rPr>
            </w:pPr>
          </w:p>
        </w:tc>
        <w:tc>
          <w:tcPr>
            <w:tcW w:w="1060" w:type="dxa"/>
            <w:vAlign w:val="bottom"/>
            <w:vMerge w:val="continue"/>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Piedmont estimates that approximately $0.7 million will be reclassified from OCI as an increase to interest expense over the next twelve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for fair value disclosures of Piedmont's derivative instruments.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Credit-risk-related Contingent Features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Piedmont has agreements with its derivative counterparties that contain a provision whereby if Piedmont defaults on any of its indebtedness, including default where repayment of the indebtedness has not been accelerated by the lender, then Piedmont could also be declared in default on its derivative obligations. If Piedmont were to breach any of the contractual provisions of the derivative contracts, it could be required to settle its liability obligations under the agreements at their termination value of the estimated fair values plus accrued interest. However, as of September 30, 2026, all of Piedmont's net interest rate swap agreements are in an asset position. Additionally, Piedmont has rights of set-off under certain of its derivative agreements related to potential termination fees and amounts payable under the agreements, if a termination were to occur.</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Fair Value Measurement of Financial Instruments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Piedmont considers its cash and cash equivalents, tenant receivables, restricted cash and escrows, accounts payable and accrued expenses, interest rate swap agreements, and debt to meet the definition of financial instruments. The following table sets forth the carrying and estimated fair value for each of Piedmont’s financial instruments, as well as its level within the GAAP fair value hierarchy, as of September 30, 2026 and December 31, 2025, respectively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Level Within</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Level Within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24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2"/>
                <w:szCs w:val="12"/>
                <w:color w:val="auto"/>
              </w:rPr>
            </w:pPr>
          </w:p>
        </w:tc>
        <w:tc>
          <w:tcPr>
            <w:tcW w:w="108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3720" w:type="dxa"/>
            <w:vAlign w:val="bottom"/>
            <w:gridSpan w:val="4"/>
            <w:shd w:val="clear" w:color="auto" w:fill="F8F4F1"/>
          </w:tcPr>
          <w:p>
            <w:pPr>
              <w:spacing w:after="0" w:line="24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360" w:type="dxa"/>
            <w:vAlign w:val="bottom"/>
            <w:gridSpan w:val="3"/>
            <w:shd w:val="clear" w:color="auto" w:fill="F8F4F1"/>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00" w:type="dxa"/>
            <w:vAlign w:val="bottom"/>
            <w:shd w:val="clear" w:color="auto" w:fill="F8F4F1"/>
          </w:tcPr>
          <w:p>
            <w:pPr>
              <w:spacing w:after="0"/>
              <w:rPr>
                <w:sz w:val="21"/>
                <w:szCs w:val="21"/>
                <w:color w:val="auto"/>
              </w:rPr>
            </w:pPr>
          </w:p>
        </w:tc>
        <w:tc>
          <w:tcPr>
            <w:tcW w:w="1060" w:type="dxa"/>
            <w:vAlign w:val="bottom"/>
            <w:gridSpan w:val="2"/>
            <w:shd w:val="clear" w:color="auto" w:fill="F8F4F1"/>
          </w:tcPr>
          <w:p>
            <w:pPr>
              <w:ind w:lef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60" w:type="dxa"/>
            <w:vAlign w:val="bottom"/>
            <w:gridSpan w:val="3"/>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F8F4F1"/>
          </w:tcPr>
          <w:p>
            <w:pPr>
              <w:spacing w:after="0"/>
              <w:rPr>
                <w:sz w:val="21"/>
                <w:szCs w:val="21"/>
                <w:color w:val="auto"/>
              </w:rPr>
            </w:pPr>
          </w:p>
        </w:tc>
        <w:tc>
          <w:tcPr>
            <w:tcW w:w="940" w:type="dxa"/>
            <w:vAlign w:val="bottom"/>
            <w:shd w:val="clear" w:color="auto" w:fill="F8F4F1"/>
          </w:tcPr>
          <w:p>
            <w:pPr>
              <w:ind w:left="38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Tenant receivables, net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10,207</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10,207</w:t>
            </w:r>
          </w:p>
        </w:tc>
        <w:tc>
          <w:tcPr>
            <w:tcW w:w="100" w:type="dxa"/>
            <w:vAlign w:val="bottom"/>
          </w:tcPr>
          <w:p>
            <w:pPr>
              <w:spacing w:after="0"/>
              <w:rPr>
                <w:sz w:val="21"/>
                <w:szCs w:val="21"/>
                <w:color w:val="auto"/>
              </w:rPr>
            </w:pP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2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3720" w:type="dxa"/>
            <w:vAlign w:val="bottom"/>
            <w:gridSpan w:val="4"/>
            <w:shd w:val="clear" w:color="auto" w:fill="F8F4F1"/>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Restricted cash and escrows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360" w:type="dxa"/>
            <w:vAlign w:val="bottom"/>
            <w:gridSpan w:val="3"/>
            <w:shd w:val="clear" w:color="auto" w:fill="F8F4F1"/>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100" w:type="dxa"/>
            <w:vAlign w:val="bottom"/>
            <w:shd w:val="clear" w:color="auto" w:fill="F8F4F1"/>
          </w:tcPr>
          <w:p>
            <w:pPr>
              <w:spacing w:after="0"/>
              <w:rPr>
                <w:sz w:val="21"/>
                <w:szCs w:val="21"/>
                <w:color w:val="auto"/>
              </w:rPr>
            </w:pPr>
          </w:p>
        </w:tc>
        <w:tc>
          <w:tcPr>
            <w:tcW w:w="1060" w:type="dxa"/>
            <w:vAlign w:val="bottom"/>
            <w:gridSpan w:val="2"/>
            <w:shd w:val="clear" w:color="auto" w:fill="F8F4F1"/>
          </w:tcPr>
          <w:p>
            <w:pPr>
              <w:ind w:lef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360" w:type="dxa"/>
            <w:vAlign w:val="bottom"/>
            <w:gridSpan w:val="3"/>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shd w:val="clear" w:color="auto" w:fill="F8F4F1"/>
          </w:tcPr>
          <w:p>
            <w:pPr>
              <w:spacing w:after="0"/>
              <w:rPr>
                <w:sz w:val="21"/>
                <w:szCs w:val="21"/>
                <w:color w:val="auto"/>
              </w:rPr>
            </w:pPr>
          </w:p>
        </w:tc>
        <w:tc>
          <w:tcPr>
            <w:tcW w:w="940" w:type="dxa"/>
            <w:vAlign w:val="bottom"/>
            <w:shd w:val="clear" w:color="auto" w:fill="F8F4F1"/>
          </w:tcPr>
          <w:p>
            <w:pPr>
              <w:ind w:left="38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w:t>
            </w:r>
          </w:p>
        </w:tc>
        <w:tc>
          <w:tcPr>
            <w:tcW w:w="100" w:type="dxa"/>
            <w:vAlign w:val="bottom"/>
          </w:tcPr>
          <w:p>
            <w:pPr>
              <w:spacing w:after="0"/>
              <w:rPr>
                <w:sz w:val="21"/>
                <w:szCs w:val="21"/>
                <w:color w:val="auto"/>
              </w:rPr>
            </w:pP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162"/>
        </w:trPr>
        <w:tc>
          <w:tcPr>
            <w:tcW w:w="20" w:type="dxa"/>
            <w:vAlign w:val="bottom"/>
            <w:shd w:val="clear" w:color="auto" w:fill="F8F4F1"/>
          </w:tcPr>
          <w:p>
            <w:pPr>
              <w:spacing w:after="0"/>
              <w:rPr>
                <w:sz w:val="14"/>
                <w:szCs w:val="14"/>
                <w:color w:val="auto"/>
              </w:rPr>
            </w:pPr>
          </w:p>
        </w:tc>
        <w:tc>
          <w:tcPr>
            <w:tcW w:w="3720" w:type="dxa"/>
            <w:vAlign w:val="bottom"/>
            <w:gridSpan w:val="4"/>
            <w:shd w:val="clear" w:color="auto" w:fill="F8F4F1"/>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shd w:val="clear" w:color="auto" w:fill="F8F4F1"/>
          </w:tcPr>
          <w:p>
            <w:pPr>
              <w:spacing w:after="0"/>
              <w:rPr>
                <w:sz w:val="14"/>
                <w:szCs w:val="14"/>
                <w:color w:val="auto"/>
              </w:rPr>
            </w:pPr>
          </w:p>
        </w:tc>
        <w:tc>
          <w:tcPr>
            <w:tcW w:w="1120" w:type="dxa"/>
            <w:vAlign w:val="bottom"/>
            <w:shd w:val="clear" w:color="auto" w:fill="F8F4F1"/>
          </w:tcPr>
          <w:p>
            <w:pPr>
              <w:spacing w:after="0"/>
              <w:rPr>
                <w:sz w:val="14"/>
                <w:szCs w:val="14"/>
                <w:color w:val="auto"/>
              </w:rPr>
            </w:pPr>
          </w:p>
        </w:tc>
        <w:tc>
          <w:tcPr>
            <w:tcW w:w="4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200" w:type="dxa"/>
            <w:vAlign w:val="bottom"/>
            <w:shd w:val="clear" w:color="auto" w:fill="F8F4F1"/>
          </w:tcPr>
          <w:p>
            <w:pPr>
              <w:spacing w:after="0"/>
              <w:rPr>
                <w:sz w:val="14"/>
                <w:szCs w:val="14"/>
                <w:color w:val="auto"/>
              </w:rPr>
            </w:pPr>
          </w:p>
        </w:tc>
        <w:tc>
          <w:tcPr>
            <w:tcW w:w="1080" w:type="dxa"/>
            <w:vAlign w:val="bottom"/>
            <w:shd w:val="clear" w:color="auto" w:fill="F8F4F1"/>
          </w:tcPr>
          <w:p>
            <w:pPr>
              <w:spacing w:after="0"/>
              <w:rPr>
                <w:sz w:val="14"/>
                <w:szCs w:val="14"/>
                <w:color w:val="auto"/>
              </w:rPr>
            </w:pPr>
          </w:p>
        </w:tc>
        <w:tc>
          <w:tcPr>
            <w:tcW w:w="100" w:type="dxa"/>
            <w:vAlign w:val="bottom"/>
            <w:shd w:val="clear" w:color="auto" w:fill="F8F4F1"/>
          </w:tcPr>
          <w:p>
            <w:pPr>
              <w:spacing w:after="0"/>
              <w:rPr>
                <w:sz w:val="14"/>
                <w:szCs w:val="14"/>
                <w:color w:val="auto"/>
              </w:rPr>
            </w:pPr>
          </w:p>
        </w:tc>
        <w:tc>
          <w:tcPr>
            <w:tcW w:w="94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140" w:type="dxa"/>
            <w:vAlign w:val="bottom"/>
            <w:shd w:val="clear" w:color="auto" w:fill="F8F4F1"/>
          </w:tcPr>
          <w:p>
            <w:pPr>
              <w:spacing w:after="0"/>
              <w:rPr>
                <w:sz w:val="14"/>
                <w:szCs w:val="14"/>
                <w:color w:val="auto"/>
              </w:rPr>
            </w:pPr>
          </w:p>
        </w:tc>
        <w:tc>
          <w:tcPr>
            <w:tcW w:w="1080" w:type="dxa"/>
            <w:vAlign w:val="bottom"/>
            <w:shd w:val="clear" w:color="auto" w:fill="F8F4F1"/>
          </w:tcPr>
          <w:p>
            <w:pPr>
              <w:spacing w:after="0"/>
              <w:rPr>
                <w:sz w:val="14"/>
                <w:szCs w:val="14"/>
                <w:color w:val="auto"/>
              </w:rPr>
            </w:pPr>
          </w:p>
        </w:tc>
        <w:tc>
          <w:tcPr>
            <w:tcW w:w="80" w:type="dxa"/>
            <w:vAlign w:val="bottom"/>
            <w:shd w:val="clear" w:color="auto" w:fill="F8F4F1"/>
          </w:tcPr>
          <w:p>
            <w:pPr>
              <w:spacing w:after="0"/>
              <w:rPr>
                <w:sz w:val="14"/>
                <w:szCs w:val="14"/>
                <w:color w:val="auto"/>
              </w:rPr>
            </w:pPr>
          </w:p>
        </w:tc>
        <w:tc>
          <w:tcPr>
            <w:tcW w:w="100" w:type="dxa"/>
            <w:vAlign w:val="bottom"/>
            <w:shd w:val="clear" w:color="auto" w:fill="F8F4F1"/>
          </w:tcPr>
          <w:p>
            <w:pPr>
              <w:spacing w:after="0"/>
              <w:rPr>
                <w:sz w:val="14"/>
                <w:szCs w:val="14"/>
                <w:color w:val="auto"/>
              </w:rPr>
            </w:pPr>
          </w:p>
        </w:tc>
        <w:tc>
          <w:tcPr>
            <w:tcW w:w="180" w:type="dxa"/>
            <w:vAlign w:val="bottom"/>
            <w:shd w:val="clear" w:color="auto" w:fill="F8F4F1"/>
          </w:tcPr>
          <w:p>
            <w:pPr>
              <w:spacing w:after="0"/>
              <w:rPr>
                <w:sz w:val="14"/>
                <w:szCs w:val="14"/>
                <w:color w:val="auto"/>
              </w:rPr>
            </w:pPr>
          </w:p>
        </w:tc>
        <w:tc>
          <w:tcPr>
            <w:tcW w:w="1000" w:type="dxa"/>
            <w:vAlign w:val="bottom"/>
            <w:shd w:val="clear" w:color="auto" w:fill="F8F4F1"/>
          </w:tcPr>
          <w:p>
            <w:pPr>
              <w:spacing w:after="0"/>
              <w:rPr>
                <w:sz w:val="14"/>
                <w:szCs w:val="14"/>
                <w:color w:val="auto"/>
              </w:rPr>
            </w:pPr>
          </w:p>
        </w:tc>
        <w:tc>
          <w:tcPr>
            <w:tcW w:w="120" w:type="dxa"/>
            <w:vAlign w:val="bottom"/>
            <w:shd w:val="clear" w:color="auto" w:fill="F8F4F1"/>
          </w:tcPr>
          <w:p>
            <w:pPr>
              <w:spacing w:after="0"/>
              <w:rPr>
                <w:sz w:val="14"/>
                <w:szCs w:val="14"/>
                <w:color w:val="auto"/>
              </w:rPr>
            </w:pPr>
          </w:p>
        </w:tc>
        <w:tc>
          <w:tcPr>
            <w:tcW w:w="940" w:type="dxa"/>
            <w:vAlign w:val="bottom"/>
            <w:shd w:val="clear" w:color="auto" w:fill="F8F4F1"/>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F8F4F1"/>
            </w:tcBorders>
            <w:shd w:val="clear" w:color="auto" w:fill="F8F4F1"/>
          </w:tcPr>
          <w:p>
            <w:pPr>
              <w:spacing w:after="0"/>
              <w:rPr>
                <w:sz w:val="2"/>
                <w:szCs w:val="2"/>
                <w:color w:val="auto"/>
              </w:rPr>
            </w:pPr>
          </w:p>
        </w:tc>
        <w:tc>
          <w:tcPr>
            <w:tcW w:w="440" w:type="dxa"/>
            <w:vAlign w:val="bottom"/>
            <w:tcBorders>
              <w:top w:val="single" w:sz="8" w:color="auto"/>
            </w:tcBorders>
            <w:shd w:val="clear" w:color="auto" w:fill="F8F4F1"/>
          </w:tcPr>
          <w:p>
            <w:pPr>
              <w:spacing w:after="0"/>
              <w:rPr>
                <w:sz w:val="2"/>
                <w:szCs w:val="2"/>
                <w:color w:val="auto"/>
              </w:rPr>
            </w:pPr>
          </w:p>
        </w:tc>
        <w:tc>
          <w:tcPr>
            <w:tcW w:w="220" w:type="dxa"/>
            <w:vAlign w:val="bottom"/>
            <w:tcBorders>
              <w:top w:val="single" w:sz="8" w:color="auto"/>
            </w:tcBorders>
            <w:shd w:val="clear" w:color="auto" w:fill="F8F4F1"/>
          </w:tcPr>
          <w:p>
            <w:pPr>
              <w:spacing w:after="0"/>
              <w:rPr>
                <w:sz w:val="2"/>
                <w:szCs w:val="2"/>
                <w:color w:val="auto"/>
              </w:rPr>
            </w:pPr>
          </w:p>
        </w:tc>
        <w:tc>
          <w:tcPr>
            <w:tcW w:w="660" w:type="dxa"/>
            <w:vAlign w:val="bottom"/>
            <w:tcBorders>
              <w:top w:val="single" w:sz="8" w:color="F8F4F1"/>
            </w:tcBorders>
            <w:shd w:val="clear" w:color="auto" w:fill="F8F4F1"/>
          </w:tcPr>
          <w:p>
            <w:pPr>
              <w:spacing w:after="0"/>
              <w:rPr>
                <w:sz w:val="2"/>
                <w:szCs w:val="2"/>
                <w:color w:val="auto"/>
              </w:rPr>
            </w:pPr>
          </w:p>
        </w:tc>
        <w:tc>
          <w:tcPr>
            <w:tcW w:w="2400" w:type="dxa"/>
            <w:vAlign w:val="bottom"/>
            <w:tcBorders>
              <w:top w:val="single" w:sz="8" w:color="F8F4F1"/>
            </w:tcBorders>
            <w:shd w:val="clear" w:color="auto" w:fill="F8F4F1"/>
          </w:tcPr>
          <w:p>
            <w:pPr>
              <w:spacing w:after="0"/>
              <w:rPr>
                <w:sz w:val="2"/>
                <w:szCs w:val="2"/>
                <w:color w:val="auto"/>
              </w:rPr>
            </w:pPr>
          </w:p>
        </w:tc>
        <w:tc>
          <w:tcPr>
            <w:tcW w:w="140" w:type="dxa"/>
            <w:vAlign w:val="bottom"/>
            <w:tcBorders>
              <w:top w:val="single" w:sz="8" w:color="F8F4F1"/>
            </w:tcBorders>
            <w:shd w:val="clear" w:color="auto" w:fill="F8F4F1"/>
          </w:tcPr>
          <w:p>
            <w:pPr>
              <w:spacing w:after="0"/>
              <w:rPr>
                <w:sz w:val="2"/>
                <w:szCs w:val="2"/>
                <w:color w:val="auto"/>
              </w:rPr>
            </w:pPr>
          </w:p>
        </w:tc>
        <w:tc>
          <w:tcPr>
            <w:tcW w:w="1120" w:type="dxa"/>
            <w:vAlign w:val="bottom"/>
            <w:tcBorders>
              <w:top w:val="single" w:sz="8" w:color="F8F4F1"/>
            </w:tcBorders>
            <w:shd w:val="clear" w:color="auto" w:fill="F8F4F1"/>
          </w:tcPr>
          <w:p>
            <w:pPr>
              <w:spacing w:after="0"/>
              <w:rPr>
                <w:sz w:val="2"/>
                <w:szCs w:val="2"/>
                <w:color w:val="auto"/>
              </w:rPr>
            </w:pPr>
          </w:p>
        </w:tc>
        <w:tc>
          <w:tcPr>
            <w:tcW w:w="40" w:type="dxa"/>
            <w:vAlign w:val="bottom"/>
            <w:tcBorders>
              <w:top w:val="single" w:sz="8" w:color="F8F4F1"/>
            </w:tcBorders>
            <w:shd w:val="clear" w:color="auto" w:fill="F8F4F1"/>
          </w:tcPr>
          <w:p>
            <w:pPr>
              <w:spacing w:after="0"/>
              <w:rPr>
                <w:sz w:val="2"/>
                <w:szCs w:val="2"/>
                <w:color w:val="auto"/>
              </w:rPr>
            </w:pPr>
          </w:p>
        </w:tc>
        <w:tc>
          <w:tcPr>
            <w:tcW w:w="120" w:type="dxa"/>
            <w:vAlign w:val="bottom"/>
            <w:tcBorders>
              <w:top w:val="single" w:sz="8" w:color="F8F4F1"/>
            </w:tcBorders>
            <w:shd w:val="clear" w:color="auto" w:fill="F8F4F1"/>
          </w:tcPr>
          <w:p>
            <w:pPr>
              <w:spacing w:after="0"/>
              <w:rPr>
                <w:sz w:val="2"/>
                <w:szCs w:val="2"/>
                <w:color w:val="auto"/>
              </w:rPr>
            </w:pPr>
          </w:p>
        </w:tc>
        <w:tc>
          <w:tcPr>
            <w:tcW w:w="200" w:type="dxa"/>
            <w:vAlign w:val="bottom"/>
            <w:tcBorders>
              <w:top w:val="single" w:sz="8" w:color="F8F4F1"/>
            </w:tcBorders>
            <w:shd w:val="clear" w:color="auto" w:fill="F8F4F1"/>
          </w:tcPr>
          <w:p>
            <w:pPr>
              <w:spacing w:after="0"/>
              <w:rPr>
                <w:sz w:val="2"/>
                <w:szCs w:val="2"/>
                <w:color w:val="auto"/>
              </w:rPr>
            </w:pPr>
          </w:p>
        </w:tc>
        <w:tc>
          <w:tcPr>
            <w:tcW w:w="1080" w:type="dxa"/>
            <w:vAlign w:val="bottom"/>
            <w:tcBorders>
              <w:top w:val="single" w:sz="8" w:color="F8F4F1"/>
            </w:tcBorders>
            <w:shd w:val="clear" w:color="auto" w:fill="F8F4F1"/>
          </w:tcPr>
          <w:p>
            <w:pPr>
              <w:spacing w:after="0"/>
              <w:rPr>
                <w:sz w:val="2"/>
                <w:szCs w:val="2"/>
                <w:color w:val="auto"/>
              </w:rPr>
            </w:pPr>
          </w:p>
        </w:tc>
        <w:tc>
          <w:tcPr>
            <w:tcW w:w="100" w:type="dxa"/>
            <w:vAlign w:val="bottom"/>
            <w:tcBorders>
              <w:top w:val="single" w:sz="8" w:color="F8F4F1"/>
            </w:tcBorders>
            <w:shd w:val="clear" w:color="auto" w:fill="F8F4F1"/>
          </w:tcPr>
          <w:p>
            <w:pPr>
              <w:spacing w:after="0"/>
              <w:rPr>
                <w:sz w:val="2"/>
                <w:szCs w:val="2"/>
                <w:color w:val="auto"/>
              </w:rPr>
            </w:pPr>
          </w:p>
        </w:tc>
        <w:tc>
          <w:tcPr>
            <w:tcW w:w="940" w:type="dxa"/>
            <w:vAlign w:val="bottom"/>
            <w:tcBorders>
              <w:top w:val="single" w:sz="8" w:color="F8F4F1"/>
            </w:tcBorders>
            <w:shd w:val="clear" w:color="auto" w:fill="F8F4F1"/>
          </w:tcPr>
          <w:p>
            <w:pPr>
              <w:spacing w:after="0"/>
              <w:rPr>
                <w:sz w:val="2"/>
                <w:szCs w:val="2"/>
                <w:color w:val="auto"/>
              </w:rPr>
            </w:pPr>
          </w:p>
        </w:tc>
        <w:tc>
          <w:tcPr>
            <w:tcW w:w="120" w:type="dxa"/>
            <w:vAlign w:val="bottom"/>
            <w:tcBorders>
              <w:top w:val="single" w:sz="8" w:color="F8F4F1"/>
            </w:tcBorders>
            <w:shd w:val="clear" w:color="auto" w:fill="F8F4F1"/>
          </w:tcPr>
          <w:p>
            <w:pPr>
              <w:spacing w:after="0"/>
              <w:rPr>
                <w:sz w:val="2"/>
                <w:szCs w:val="2"/>
                <w:color w:val="auto"/>
              </w:rPr>
            </w:pPr>
          </w:p>
        </w:tc>
        <w:tc>
          <w:tcPr>
            <w:tcW w:w="140" w:type="dxa"/>
            <w:vAlign w:val="bottom"/>
            <w:tcBorders>
              <w:top w:val="single" w:sz="8" w:color="F8F4F1"/>
            </w:tcBorders>
            <w:shd w:val="clear" w:color="auto" w:fill="F8F4F1"/>
          </w:tcPr>
          <w:p>
            <w:pPr>
              <w:spacing w:after="0"/>
              <w:rPr>
                <w:sz w:val="2"/>
                <w:szCs w:val="2"/>
                <w:color w:val="auto"/>
              </w:rPr>
            </w:pPr>
          </w:p>
        </w:tc>
        <w:tc>
          <w:tcPr>
            <w:tcW w:w="1080" w:type="dxa"/>
            <w:vAlign w:val="bottom"/>
            <w:tcBorders>
              <w:top w:val="single" w:sz="8" w:color="F8F4F1"/>
            </w:tcBorders>
            <w:shd w:val="clear" w:color="auto" w:fill="F8F4F1"/>
          </w:tcPr>
          <w:p>
            <w:pPr>
              <w:spacing w:after="0"/>
              <w:rPr>
                <w:sz w:val="2"/>
                <w:szCs w:val="2"/>
                <w:color w:val="auto"/>
              </w:rPr>
            </w:pPr>
          </w:p>
        </w:tc>
        <w:tc>
          <w:tcPr>
            <w:tcW w:w="80" w:type="dxa"/>
            <w:vAlign w:val="bottom"/>
            <w:tcBorders>
              <w:top w:val="single" w:sz="8" w:color="F8F4F1"/>
            </w:tcBorders>
            <w:shd w:val="clear" w:color="auto" w:fill="F8F4F1"/>
          </w:tcPr>
          <w:p>
            <w:pPr>
              <w:spacing w:after="0"/>
              <w:rPr>
                <w:sz w:val="2"/>
                <w:szCs w:val="2"/>
                <w:color w:val="auto"/>
              </w:rPr>
            </w:pPr>
          </w:p>
        </w:tc>
        <w:tc>
          <w:tcPr>
            <w:tcW w:w="100" w:type="dxa"/>
            <w:vAlign w:val="bottom"/>
            <w:tcBorders>
              <w:top w:val="single" w:sz="8" w:color="F8F4F1"/>
            </w:tcBorders>
            <w:shd w:val="clear" w:color="auto" w:fill="F8F4F1"/>
          </w:tcPr>
          <w:p>
            <w:pPr>
              <w:spacing w:after="0"/>
              <w:rPr>
                <w:sz w:val="2"/>
                <w:szCs w:val="2"/>
                <w:color w:val="auto"/>
              </w:rPr>
            </w:pPr>
          </w:p>
        </w:tc>
        <w:tc>
          <w:tcPr>
            <w:tcW w:w="180" w:type="dxa"/>
            <w:vAlign w:val="bottom"/>
            <w:tcBorders>
              <w:top w:val="single" w:sz="8" w:color="F8F4F1"/>
            </w:tcBorders>
            <w:shd w:val="clear" w:color="auto" w:fill="F8F4F1"/>
          </w:tcPr>
          <w:p>
            <w:pPr>
              <w:spacing w:after="0"/>
              <w:rPr>
                <w:sz w:val="2"/>
                <w:szCs w:val="2"/>
                <w:color w:val="auto"/>
              </w:rPr>
            </w:pPr>
          </w:p>
        </w:tc>
        <w:tc>
          <w:tcPr>
            <w:tcW w:w="1000" w:type="dxa"/>
            <w:vAlign w:val="bottom"/>
            <w:tcBorders>
              <w:top w:val="single" w:sz="8" w:color="F8F4F1"/>
            </w:tcBorders>
            <w:shd w:val="clear" w:color="auto" w:fill="F8F4F1"/>
          </w:tcPr>
          <w:p>
            <w:pPr>
              <w:spacing w:after="0"/>
              <w:rPr>
                <w:sz w:val="2"/>
                <w:szCs w:val="2"/>
                <w:color w:val="auto"/>
              </w:rPr>
            </w:pPr>
          </w:p>
        </w:tc>
        <w:tc>
          <w:tcPr>
            <w:tcW w:w="120" w:type="dxa"/>
            <w:vAlign w:val="bottom"/>
            <w:tcBorders>
              <w:top w:val="single" w:sz="8" w:color="F8F4F1"/>
            </w:tcBorders>
            <w:shd w:val="clear" w:color="auto" w:fill="F8F4F1"/>
          </w:tcPr>
          <w:p>
            <w:pPr>
              <w:spacing w:after="0"/>
              <w:rPr>
                <w:sz w:val="2"/>
                <w:szCs w:val="2"/>
                <w:color w:val="auto"/>
              </w:rPr>
            </w:pPr>
          </w:p>
        </w:tc>
        <w:tc>
          <w:tcPr>
            <w:tcW w:w="940" w:type="dxa"/>
            <w:vAlign w:val="bottom"/>
            <w:tcBorders>
              <w:top w:val="single" w:sz="8" w:color="F8F4F1"/>
            </w:tcBorders>
            <w:shd w:val="clear" w:color="auto" w:fill="F8F4F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Accounts payable and accrued expenses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21,143</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21,143</w:t>
            </w:r>
          </w:p>
        </w:tc>
        <w:tc>
          <w:tcPr>
            <w:tcW w:w="100" w:type="dxa"/>
            <w:vAlign w:val="bottom"/>
          </w:tcPr>
          <w:p>
            <w:pPr>
              <w:spacing w:after="0"/>
              <w:rPr>
                <w:sz w:val="21"/>
                <w:szCs w:val="21"/>
                <w:color w:val="auto"/>
              </w:rPr>
            </w:pP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2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3"/>
        </w:trPr>
        <w:tc>
          <w:tcPr>
            <w:tcW w:w="20" w:type="dxa"/>
            <w:vAlign w:val="bottom"/>
            <w:shd w:val="clear" w:color="auto" w:fill="F8F4F1"/>
          </w:tcPr>
          <w:p>
            <w:pPr>
              <w:spacing w:after="0"/>
              <w:rPr>
                <w:sz w:val="21"/>
                <w:szCs w:val="21"/>
                <w:color w:val="auto"/>
              </w:rPr>
            </w:pPr>
          </w:p>
        </w:tc>
        <w:tc>
          <w:tcPr>
            <w:tcW w:w="3720" w:type="dxa"/>
            <w:vAlign w:val="bottom"/>
            <w:gridSpan w:val="4"/>
            <w:shd w:val="clear" w:color="auto" w:fill="F8F4F1"/>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F8F4F1"/>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F8F4F1"/>
          </w:tcPr>
          <w:p>
            <w:pPr>
              <w:ind w:lef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gridSpan w:val="3"/>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F8F4F1"/>
          </w:tcPr>
          <w:p>
            <w:pPr>
              <w:spacing w:after="0"/>
              <w:rPr>
                <w:sz w:val="21"/>
                <w:szCs w:val="21"/>
                <w:color w:val="auto"/>
              </w:rPr>
            </w:pPr>
          </w:p>
        </w:tc>
        <w:tc>
          <w:tcPr>
            <w:tcW w:w="940" w:type="dxa"/>
            <w:vAlign w:val="bottom"/>
            <w:shd w:val="clear" w:color="auto" w:fill="F8F4F1"/>
          </w:tcPr>
          <w:p>
            <w:pPr>
              <w:ind w:left="38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2,340,841</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2,272,174</w:t>
            </w:r>
          </w:p>
        </w:tc>
        <w:tc>
          <w:tcPr>
            <w:tcW w:w="100" w:type="dxa"/>
            <w:vAlign w:val="bottom"/>
          </w:tcPr>
          <w:p>
            <w:pPr>
              <w:spacing w:after="0"/>
              <w:rPr>
                <w:sz w:val="21"/>
                <w:szCs w:val="21"/>
                <w:color w:val="auto"/>
              </w:rPr>
            </w:pP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2,224,712</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2,262,389</w:t>
            </w:r>
          </w:p>
        </w:tc>
        <w:tc>
          <w:tcPr>
            <w:tcW w:w="120" w:type="dxa"/>
            <w:vAlign w:val="bottom"/>
          </w:tcPr>
          <w:p>
            <w:pPr>
              <w:spacing w:after="0"/>
              <w:rPr>
                <w:sz w:val="21"/>
                <w:szCs w:val="21"/>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periods presented, the carrying value of these financial instruments approximates estimated fair value due to their short-term maturity.</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Piedmont's debt was carried at book value as of September 30, 2026 and December 31, 2025; however, Piedmont's estimate of its fair value is disclosed in the table above. Piedmont uses widely accepted valuation techniques including discounted cash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flow analysis based on the contractual terms of the debt facilities, including the period to maturity of each instrument, and uses observable market-based inputs for similar debt facilities which have transacted recently in the market. Therefore, the estimated fair values determined are considered to be based on significant other observable inputs (Level 2). Scaling adjustments are made to these inputs to make them applicable to the remaining life of Piedmont's outstanding debt. Piedmont has not changed its valuation technique for estimating the fair value of its debt.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Piedmont’s interest rate swap agreements presented above, and as further discussed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are classified as “Interest rate swaps” in the accompanying consolidated balance sheets and were carried at estimated fair value as of September 30, 2026 and December 31, 2025. The valuation of these derivative instruments was determined using widely accepted valuation techniques including discounted cash flow analysis based on the contractual terms of the derivatives, including the period to maturity of each instrument, and uses observable market-based inputs, including interest rate curves and implied volatilities. Therefore, the estimated fair values determined are considered to be based on significant other observable inputs (Level 2). In addition, Piedmont considered both its own and the respective counterparties’ risk of nonperformance in determining the estimated fair value of its derivative financial instruments by estimating the current and potential future exposure under the derivative financial instruments as of the valuation date. The credit risk of Piedmont and its counterparties was factored into the calculation of the estimated fair value of the interest rate swaps; however, as of September 30, 2026 and December 31, 2025, this credit valuation adjustment did not comprise a material portion of the estimated fair value. Therefore, Piedmont believes that any unobservable inputs used to determine the estimated fair values of its derivative financial instruments are not significant to the fair value measurements in their entirety, and does not consider any of its derivatives to be Level 3 financial instruments.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Piedmont’s goodwill allocated to each of its reportable segments in total and net of accumulated impairment charges,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 were as follows (in thousands):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Northern</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Virginia/</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Atlanta</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Dallas</w:t>
            </w: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Orlando</w:t>
            </w:r>
          </w:p>
        </w:tc>
        <w:tc>
          <w:tcPr>
            <w:tcW w:w="12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Washington,</w:t>
            </w: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Minneapolis</w:t>
            </w: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Boston</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D.C.</w:t>
            </w:r>
          </w:p>
        </w:tc>
        <w:tc>
          <w:tcPr>
            <w:tcW w:w="11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7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F8F4F1"/>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18,563</w:t>
            </w:r>
          </w:p>
        </w:tc>
        <w:tc>
          <w:tcPr>
            <w:tcW w:w="30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18,525</w:t>
            </w:r>
          </w:p>
        </w:tc>
        <w:tc>
          <w:tcPr>
            <w:tcW w:w="360" w:type="dxa"/>
            <w:vAlign w:val="bottom"/>
            <w:shd w:val="clear" w:color="auto" w:fill="F8F4F1"/>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10,818</w:t>
            </w:r>
          </w:p>
        </w:tc>
        <w:tc>
          <w:tcPr>
            <w:tcW w:w="340" w:type="dxa"/>
            <w:vAlign w:val="bottom"/>
            <w:shd w:val="clear" w:color="auto" w:fill="F8F4F1"/>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15,981</w:t>
            </w:r>
          </w:p>
        </w:tc>
        <w:tc>
          <w:tcPr>
            <w:tcW w:w="320" w:type="dxa"/>
            <w:vAlign w:val="bottom"/>
            <w:shd w:val="clear" w:color="auto" w:fill="F8F4F1"/>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10,957</w:t>
            </w:r>
          </w:p>
        </w:tc>
        <w:tc>
          <w:tcPr>
            <w:tcW w:w="2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10,585</w:t>
            </w:r>
          </w:p>
        </w:tc>
        <w:tc>
          <w:tcPr>
            <w:tcW w:w="2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13,489</w:t>
            </w:r>
          </w:p>
        </w:tc>
        <w:tc>
          <w:tcPr>
            <w:tcW w:w="28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98,918</w:t>
            </w:r>
          </w:p>
        </w:tc>
      </w:tr>
      <w:tr>
        <w:trPr>
          <w:trHeight w:val="243"/>
        </w:trPr>
        <w:tc>
          <w:tcPr>
            <w:tcW w:w="2720" w:type="dxa"/>
            <w:vAlign w:val="bottom"/>
            <w:tcBorders>
              <w:bottom w:val="single" w:sz="8" w:color="F8F4F1"/>
            </w:tcBorders>
          </w:tcPr>
          <w:p>
            <w:pPr>
              <w:ind w:left="180"/>
              <w:spacing w:after="0"/>
              <w:rPr>
                <w:sz w:val="20"/>
                <w:szCs w:val="20"/>
                <w:color w:val="auto"/>
              </w:rPr>
            </w:pPr>
            <w:r>
              <w:rPr>
                <w:rFonts w:ascii="Times New Roman" w:cs="Times New Roman" w:eastAsia="Times New Roman" w:hAnsi="Times New Roman"/>
                <w:sz w:val="14"/>
                <w:szCs w:val="14"/>
                <w:color w:val="auto"/>
              </w:rPr>
              <w:t>Accumulated impairment charges</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(45,427)</w:t>
            </w:r>
          </w:p>
        </w:tc>
      </w:tr>
      <w:tr>
        <w:trPr>
          <w:trHeight w:val="237"/>
        </w:trPr>
        <w:tc>
          <w:tcPr>
            <w:tcW w:w="2720" w:type="dxa"/>
            <w:vAlign w:val="bottom"/>
            <w:shd w:val="clear" w:color="auto" w:fill="F8F4F1"/>
          </w:tcPr>
          <w:p>
            <w:pPr>
              <w:spacing w:after="0"/>
              <w:rPr>
                <w:sz w:val="20"/>
                <w:szCs w:val="20"/>
                <w:color w:val="auto"/>
              </w:rPr>
            </w:pPr>
          </w:p>
        </w:tc>
        <w:tc>
          <w:tcPr>
            <w:tcW w:w="260" w:type="dxa"/>
            <w:vAlign w:val="bottom"/>
            <w:shd w:val="clear" w:color="auto" w:fill="F8F4F1"/>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18,563</w:t>
            </w:r>
          </w:p>
        </w:tc>
        <w:tc>
          <w:tcPr>
            <w:tcW w:w="30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18,525</w:t>
            </w:r>
          </w:p>
        </w:tc>
        <w:tc>
          <w:tcPr>
            <w:tcW w:w="360" w:type="dxa"/>
            <w:vAlign w:val="bottom"/>
            <w:shd w:val="clear" w:color="auto" w:fill="F8F4F1"/>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10,818</w:t>
            </w:r>
          </w:p>
        </w:tc>
        <w:tc>
          <w:tcPr>
            <w:tcW w:w="340" w:type="dxa"/>
            <w:vAlign w:val="bottom"/>
            <w:shd w:val="clear" w:color="auto" w:fill="F8F4F1"/>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F8F4F1"/>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5,585</w:t>
            </w:r>
          </w:p>
        </w:tc>
        <w:tc>
          <w:tcPr>
            <w:tcW w:w="2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53,491</w:t>
            </w:r>
          </w:p>
        </w:tc>
      </w:tr>
      <w:tr>
        <w:trPr>
          <w:trHeight w:val="162"/>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3"/>
        </w:trPr>
        <w:tc>
          <w:tcPr>
            <w:tcW w:w="27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4"/>
                <w:szCs w:val="14"/>
                <w:color w:val="auto"/>
              </w:rPr>
              <w:t>2026 impairment charges</w:t>
            </w:r>
          </w:p>
        </w:tc>
        <w:tc>
          <w:tcPr>
            <w:tcW w:w="260" w:type="dxa"/>
            <w:vAlign w:val="bottom"/>
            <w:shd w:val="clear" w:color="auto" w:fill="F8F4F1"/>
          </w:tcPr>
          <w:p>
            <w:pPr>
              <w:spacing w:after="0"/>
              <w:rPr>
                <w:sz w:val="21"/>
                <w:szCs w:val="21"/>
                <w:color w:val="auto"/>
              </w:rPr>
            </w:pPr>
          </w:p>
        </w:tc>
        <w:tc>
          <w:tcPr>
            <w:tcW w:w="74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F8F4F1"/>
          </w:tcPr>
          <w:p>
            <w:pPr>
              <w:spacing w:after="0"/>
              <w:rPr>
                <w:sz w:val="21"/>
                <w:szCs w:val="21"/>
                <w:color w:val="auto"/>
              </w:rPr>
            </w:pPr>
          </w:p>
        </w:tc>
        <w:tc>
          <w:tcPr>
            <w:tcW w:w="7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F8F4F1"/>
          </w:tcPr>
          <w:p>
            <w:pPr>
              <w:spacing w:after="0"/>
              <w:rPr>
                <w:sz w:val="21"/>
                <w:szCs w:val="21"/>
                <w:color w:val="auto"/>
              </w:rPr>
            </w:pPr>
          </w:p>
        </w:tc>
        <w:tc>
          <w:tcPr>
            <w:tcW w:w="76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F8F4F1"/>
          </w:tcPr>
          <w:p>
            <w:pPr>
              <w:spacing w:after="0"/>
              <w:rPr>
                <w:sz w:val="21"/>
                <w:szCs w:val="21"/>
                <w:color w:val="auto"/>
              </w:rPr>
            </w:pPr>
          </w:p>
        </w:tc>
        <w:tc>
          <w:tcPr>
            <w:tcW w:w="86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F8F4F1"/>
          </w:tcPr>
          <w:p>
            <w:pPr>
              <w:spacing w:after="0"/>
              <w:rPr>
                <w:sz w:val="21"/>
                <w:szCs w:val="21"/>
                <w:color w:val="auto"/>
              </w:rPr>
            </w:pPr>
          </w:p>
        </w:tc>
        <w:tc>
          <w:tcPr>
            <w:tcW w:w="8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8F4F1"/>
          </w:tcPr>
          <w:p>
            <w:pPr>
              <w:spacing w:after="0"/>
              <w:rPr>
                <w:sz w:val="21"/>
                <w:szCs w:val="21"/>
                <w:color w:val="auto"/>
              </w:rPr>
            </w:pPr>
          </w:p>
        </w:tc>
        <w:tc>
          <w:tcPr>
            <w:tcW w:w="7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8F4F1"/>
          </w:tcPr>
          <w:p>
            <w:pPr>
              <w:spacing w:after="0"/>
              <w:rPr>
                <w:sz w:val="21"/>
                <w:szCs w:val="21"/>
                <w:color w:val="auto"/>
              </w:rPr>
            </w:pPr>
          </w:p>
        </w:tc>
        <w:tc>
          <w:tcPr>
            <w:tcW w:w="78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F8F4F1"/>
          </w:tcPr>
          <w:p>
            <w:pPr>
              <w:spacing w:after="0"/>
              <w:rPr>
                <w:sz w:val="21"/>
                <w:szCs w:val="21"/>
                <w:color w:val="auto"/>
              </w:rPr>
            </w:pP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62"/>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6"/>
        </w:trPr>
        <w:tc>
          <w:tcPr>
            <w:tcW w:w="2720" w:type="dxa"/>
            <w:vAlign w:val="bottom"/>
            <w:tcBorders>
              <w:bottom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260" w:type="dxa"/>
            <w:vAlign w:val="bottom"/>
            <w:tcBorders>
              <w:bottom w:val="single" w:sz="8" w:color="F8F4F1"/>
            </w:tcBorders>
            <w:shd w:val="clear" w:color="auto" w:fill="F8F4F1"/>
          </w:tcPr>
          <w:p>
            <w:pPr>
              <w:spacing w:after="0"/>
              <w:rPr>
                <w:sz w:val="17"/>
                <w:szCs w:val="17"/>
                <w:color w:val="auto"/>
              </w:rPr>
            </w:pPr>
          </w:p>
        </w:tc>
        <w:tc>
          <w:tcPr>
            <w:tcW w:w="740" w:type="dxa"/>
            <w:vAlign w:val="bottom"/>
            <w:tcBorders>
              <w:bottom w:val="single" w:sz="8" w:color="F8F4F1"/>
            </w:tcBorders>
            <w:shd w:val="clear" w:color="auto" w:fill="F8F4F1"/>
          </w:tcPr>
          <w:p>
            <w:pPr>
              <w:spacing w:after="0"/>
              <w:rPr>
                <w:sz w:val="17"/>
                <w:szCs w:val="17"/>
                <w:color w:val="auto"/>
              </w:rPr>
            </w:pPr>
          </w:p>
        </w:tc>
        <w:tc>
          <w:tcPr>
            <w:tcW w:w="300" w:type="dxa"/>
            <w:vAlign w:val="bottom"/>
            <w:tcBorders>
              <w:bottom w:val="single" w:sz="8" w:color="F8F4F1"/>
            </w:tcBorders>
            <w:shd w:val="clear" w:color="auto" w:fill="F8F4F1"/>
          </w:tcPr>
          <w:p>
            <w:pPr>
              <w:spacing w:after="0"/>
              <w:rPr>
                <w:sz w:val="17"/>
                <w:szCs w:val="17"/>
                <w:color w:val="auto"/>
              </w:rPr>
            </w:pPr>
          </w:p>
        </w:tc>
        <w:tc>
          <w:tcPr>
            <w:tcW w:w="700" w:type="dxa"/>
            <w:vAlign w:val="bottom"/>
            <w:tcBorders>
              <w:bottom w:val="single" w:sz="8" w:color="F8F4F1"/>
            </w:tcBorders>
            <w:shd w:val="clear" w:color="auto" w:fill="F8F4F1"/>
          </w:tcPr>
          <w:p>
            <w:pPr>
              <w:spacing w:after="0"/>
              <w:rPr>
                <w:sz w:val="17"/>
                <w:szCs w:val="17"/>
                <w:color w:val="auto"/>
              </w:rPr>
            </w:pPr>
          </w:p>
        </w:tc>
        <w:tc>
          <w:tcPr>
            <w:tcW w:w="360" w:type="dxa"/>
            <w:vAlign w:val="bottom"/>
            <w:tcBorders>
              <w:bottom w:val="single" w:sz="8" w:color="F8F4F1"/>
            </w:tcBorders>
            <w:shd w:val="clear" w:color="auto" w:fill="F8F4F1"/>
          </w:tcPr>
          <w:p>
            <w:pPr>
              <w:spacing w:after="0"/>
              <w:rPr>
                <w:sz w:val="17"/>
                <w:szCs w:val="17"/>
                <w:color w:val="auto"/>
              </w:rPr>
            </w:pPr>
          </w:p>
        </w:tc>
        <w:tc>
          <w:tcPr>
            <w:tcW w:w="760" w:type="dxa"/>
            <w:vAlign w:val="bottom"/>
            <w:tcBorders>
              <w:bottom w:val="single" w:sz="8" w:color="F8F4F1"/>
            </w:tcBorders>
            <w:shd w:val="clear" w:color="auto" w:fill="F8F4F1"/>
          </w:tcPr>
          <w:p>
            <w:pPr>
              <w:spacing w:after="0"/>
              <w:rPr>
                <w:sz w:val="17"/>
                <w:szCs w:val="17"/>
                <w:color w:val="auto"/>
              </w:rPr>
            </w:pPr>
          </w:p>
        </w:tc>
        <w:tc>
          <w:tcPr>
            <w:tcW w:w="340" w:type="dxa"/>
            <w:vAlign w:val="bottom"/>
            <w:tcBorders>
              <w:bottom w:val="single" w:sz="8" w:color="F8F4F1"/>
            </w:tcBorders>
            <w:shd w:val="clear" w:color="auto" w:fill="F8F4F1"/>
          </w:tcPr>
          <w:p>
            <w:pPr>
              <w:spacing w:after="0"/>
              <w:rPr>
                <w:sz w:val="17"/>
                <w:szCs w:val="17"/>
                <w:color w:val="auto"/>
              </w:rPr>
            </w:pPr>
          </w:p>
        </w:tc>
        <w:tc>
          <w:tcPr>
            <w:tcW w:w="860" w:type="dxa"/>
            <w:vAlign w:val="bottom"/>
            <w:tcBorders>
              <w:bottom w:val="single" w:sz="8" w:color="F8F4F1"/>
            </w:tcBorders>
            <w:shd w:val="clear" w:color="auto" w:fill="F8F4F1"/>
          </w:tcPr>
          <w:p>
            <w:pPr>
              <w:spacing w:after="0"/>
              <w:rPr>
                <w:sz w:val="17"/>
                <w:szCs w:val="17"/>
                <w:color w:val="auto"/>
              </w:rPr>
            </w:pPr>
          </w:p>
        </w:tc>
        <w:tc>
          <w:tcPr>
            <w:tcW w:w="320" w:type="dxa"/>
            <w:vAlign w:val="bottom"/>
            <w:tcBorders>
              <w:bottom w:val="single" w:sz="8" w:color="F8F4F1"/>
            </w:tcBorders>
            <w:shd w:val="clear" w:color="auto" w:fill="F8F4F1"/>
          </w:tcPr>
          <w:p>
            <w:pPr>
              <w:spacing w:after="0"/>
              <w:rPr>
                <w:sz w:val="17"/>
                <w:szCs w:val="17"/>
                <w:color w:val="auto"/>
              </w:rPr>
            </w:pPr>
          </w:p>
        </w:tc>
        <w:tc>
          <w:tcPr>
            <w:tcW w:w="840" w:type="dxa"/>
            <w:vAlign w:val="bottom"/>
            <w:tcBorders>
              <w:bottom w:val="single" w:sz="8" w:color="F8F4F1"/>
            </w:tcBorders>
            <w:shd w:val="clear" w:color="auto" w:fill="F8F4F1"/>
          </w:tcPr>
          <w:p>
            <w:pPr>
              <w:spacing w:after="0"/>
              <w:rPr>
                <w:sz w:val="17"/>
                <w:szCs w:val="17"/>
                <w:color w:val="auto"/>
              </w:rPr>
            </w:pPr>
          </w:p>
        </w:tc>
        <w:tc>
          <w:tcPr>
            <w:tcW w:w="260" w:type="dxa"/>
            <w:vAlign w:val="bottom"/>
            <w:tcBorders>
              <w:bottom w:val="single" w:sz="8" w:color="F8F4F1"/>
            </w:tcBorders>
            <w:shd w:val="clear" w:color="auto" w:fill="F8F4F1"/>
          </w:tcPr>
          <w:p>
            <w:pPr>
              <w:spacing w:after="0"/>
              <w:rPr>
                <w:sz w:val="17"/>
                <w:szCs w:val="17"/>
                <w:color w:val="auto"/>
              </w:rPr>
            </w:pPr>
          </w:p>
        </w:tc>
        <w:tc>
          <w:tcPr>
            <w:tcW w:w="720" w:type="dxa"/>
            <w:vAlign w:val="bottom"/>
            <w:tcBorders>
              <w:bottom w:val="single" w:sz="8" w:color="F8F4F1"/>
            </w:tcBorders>
            <w:shd w:val="clear" w:color="auto" w:fill="F8F4F1"/>
          </w:tcPr>
          <w:p>
            <w:pPr>
              <w:spacing w:after="0"/>
              <w:rPr>
                <w:sz w:val="17"/>
                <w:szCs w:val="17"/>
                <w:color w:val="auto"/>
              </w:rPr>
            </w:pPr>
          </w:p>
        </w:tc>
        <w:tc>
          <w:tcPr>
            <w:tcW w:w="260" w:type="dxa"/>
            <w:vAlign w:val="bottom"/>
            <w:tcBorders>
              <w:bottom w:val="single" w:sz="8" w:color="F8F4F1"/>
            </w:tcBorders>
            <w:shd w:val="clear" w:color="auto" w:fill="F8F4F1"/>
          </w:tcPr>
          <w:p>
            <w:pPr>
              <w:spacing w:after="0"/>
              <w:rPr>
                <w:sz w:val="17"/>
                <w:szCs w:val="17"/>
                <w:color w:val="auto"/>
              </w:rPr>
            </w:pPr>
          </w:p>
        </w:tc>
        <w:tc>
          <w:tcPr>
            <w:tcW w:w="780" w:type="dxa"/>
            <w:vAlign w:val="bottom"/>
            <w:tcBorders>
              <w:bottom w:val="single" w:sz="8" w:color="F8F4F1"/>
            </w:tcBorders>
            <w:shd w:val="clear" w:color="auto" w:fill="F8F4F1"/>
          </w:tcPr>
          <w:p>
            <w:pPr>
              <w:spacing w:after="0"/>
              <w:rPr>
                <w:sz w:val="17"/>
                <w:szCs w:val="17"/>
                <w:color w:val="auto"/>
              </w:rPr>
            </w:pPr>
          </w:p>
        </w:tc>
        <w:tc>
          <w:tcPr>
            <w:tcW w:w="280" w:type="dxa"/>
            <w:vAlign w:val="bottom"/>
            <w:tcBorders>
              <w:bottom w:val="single" w:sz="8" w:color="F8F4F1"/>
            </w:tcBorders>
            <w:shd w:val="clear" w:color="auto" w:fill="F8F4F1"/>
          </w:tcPr>
          <w:p>
            <w:pPr>
              <w:spacing w:after="0"/>
              <w:rPr>
                <w:sz w:val="17"/>
                <w:szCs w:val="17"/>
                <w:color w:val="auto"/>
              </w:rPr>
            </w:pPr>
          </w:p>
        </w:tc>
        <w:tc>
          <w:tcPr>
            <w:tcW w:w="740" w:type="dxa"/>
            <w:vAlign w:val="bottom"/>
            <w:tcBorders>
              <w:bottom w:val="single" w:sz="8" w:color="F8F4F1"/>
            </w:tcBorders>
            <w:shd w:val="clear" w:color="auto" w:fill="F8F4F1"/>
          </w:tcPr>
          <w:p>
            <w:pPr>
              <w:spacing w:after="0"/>
              <w:rPr>
                <w:sz w:val="17"/>
                <w:szCs w:val="17"/>
                <w:color w:val="auto"/>
              </w:rPr>
            </w:pPr>
          </w:p>
        </w:tc>
      </w:tr>
      <w:tr>
        <w:trPr>
          <w:trHeight w:val="243"/>
        </w:trPr>
        <w:tc>
          <w:tcPr>
            <w:tcW w:w="2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18,563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10,818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10,957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98,918</w:t>
            </w:r>
          </w:p>
        </w:tc>
      </w:tr>
      <w:tr>
        <w:trPr>
          <w:trHeight w:val="243"/>
        </w:trPr>
        <w:tc>
          <w:tcPr>
            <w:tcW w:w="27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4"/>
                <w:szCs w:val="14"/>
                <w:color w:val="auto"/>
              </w:rPr>
              <w:t>Accumulated impairment charges</w:t>
            </w:r>
          </w:p>
        </w:tc>
        <w:tc>
          <w:tcPr>
            <w:tcW w:w="260" w:type="dxa"/>
            <w:vAlign w:val="bottom"/>
            <w:tcBorders>
              <w:bottom w:val="single" w:sz="8" w:color="auto"/>
            </w:tcBorders>
            <w:shd w:val="clear" w:color="auto" w:fill="F8F4F1"/>
          </w:tcPr>
          <w:p>
            <w:pPr>
              <w:spacing w:after="0"/>
              <w:rPr>
                <w:sz w:val="21"/>
                <w:szCs w:val="21"/>
                <w:color w:val="auto"/>
              </w:rPr>
            </w:pPr>
          </w:p>
        </w:tc>
        <w:tc>
          <w:tcPr>
            <w:tcW w:w="74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F8F4F1"/>
          </w:tcPr>
          <w:p>
            <w:pPr>
              <w:spacing w:after="0"/>
              <w:rPr>
                <w:sz w:val="21"/>
                <w:szCs w:val="21"/>
                <w:color w:val="auto"/>
              </w:rPr>
            </w:pPr>
          </w:p>
        </w:tc>
        <w:tc>
          <w:tcPr>
            <w:tcW w:w="70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F8F4F1"/>
          </w:tcPr>
          <w:p>
            <w:pPr>
              <w:spacing w:after="0"/>
              <w:rPr>
                <w:sz w:val="21"/>
                <w:szCs w:val="21"/>
                <w:color w:val="auto"/>
              </w:rPr>
            </w:pPr>
          </w:p>
        </w:tc>
        <w:tc>
          <w:tcPr>
            <w:tcW w:w="76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F8F4F1"/>
          </w:tcPr>
          <w:p>
            <w:pPr>
              <w:spacing w:after="0"/>
              <w:rPr>
                <w:sz w:val="21"/>
                <w:szCs w:val="21"/>
                <w:color w:val="auto"/>
              </w:rPr>
            </w:pPr>
          </w:p>
        </w:tc>
        <w:tc>
          <w:tcPr>
            <w:tcW w:w="8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(15,981)</w:t>
            </w:r>
          </w:p>
        </w:tc>
        <w:tc>
          <w:tcPr>
            <w:tcW w:w="320" w:type="dxa"/>
            <w:vAlign w:val="bottom"/>
            <w:tcBorders>
              <w:bottom w:val="single" w:sz="8" w:color="auto"/>
            </w:tcBorders>
            <w:shd w:val="clear" w:color="auto" w:fill="F8F4F1"/>
          </w:tcPr>
          <w:p>
            <w:pPr>
              <w:spacing w:after="0"/>
              <w:rPr>
                <w:sz w:val="21"/>
                <w:szCs w:val="21"/>
                <w:color w:val="auto"/>
              </w:rPr>
            </w:pPr>
          </w:p>
        </w:tc>
        <w:tc>
          <w:tcPr>
            <w:tcW w:w="8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260" w:type="dxa"/>
            <w:vAlign w:val="bottom"/>
            <w:tcBorders>
              <w:bottom w:val="single" w:sz="8" w:color="auto"/>
            </w:tcBorders>
            <w:shd w:val="clear" w:color="auto" w:fill="F8F4F1"/>
          </w:tcPr>
          <w:p>
            <w:pPr>
              <w:spacing w:after="0"/>
              <w:rPr>
                <w:sz w:val="21"/>
                <w:szCs w:val="21"/>
                <w:color w:val="auto"/>
              </w:rPr>
            </w:pPr>
          </w:p>
        </w:tc>
        <w:tc>
          <w:tcPr>
            <w:tcW w:w="7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bottom w:val="single" w:sz="8" w:color="auto"/>
            </w:tcBorders>
            <w:shd w:val="clear" w:color="auto" w:fill="F8F4F1"/>
          </w:tcPr>
          <w:p>
            <w:pPr>
              <w:spacing w:after="0"/>
              <w:rPr>
                <w:sz w:val="21"/>
                <w:szCs w:val="21"/>
                <w:color w:val="auto"/>
              </w:rPr>
            </w:pPr>
          </w:p>
        </w:tc>
        <w:tc>
          <w:tcPr>
            <w:tcW w:w="7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280" w:type="dxa"/>
            <w:vAlign w:val="bottom"/>
            <w:tcBorders>
              <w:bottom w:val="single" w:sz="8" w:color="auto"/>
            </w:tcBorders>
            <w:shd w:val="clear" w:color="auto" w:fill="F8F4F1"/>
          </w:tcPr>
          <w:p>
            <w:pPr>
              <w:spacing w:after="0"/>
              <w:rPr>
                <w:sz w:val="21"/>
                <w:szCs w:val="21"/>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(45,427)</w:t>
            </w:r>
          </w:p>
        </w:tc>
      </w:tr>
      <w:tr>
        <w:trPr>
          <w:trHeight w:val="237"/>
        </w:trPr>
        <w:tc>
          <w:tcPr>
            <w:tcW w:w="27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18,563</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18,525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10,818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5,585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53,491</w:t>
            </w:r>
          </w:p>
        </w:tc>
      </w:tr>
      <w:tr>
        <w:trPr>
          <w:trHeight w:val="21"/>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Under Existing Lease Agreements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recurring part of its business, Piedmont is typically required under its executed lease agreements to fund tenant improvements, leasing commissions, and building improvements. In addition, certain agreements contain provisions that require Piedmont to issue corporate or property guarantees to provide funding for capital improvements or other financial obligations. As of September 30, 2026, Piedmont had no individually significant tenant allowance commitment greater than $10 million. These commitments will be capitalized as the related expenditures are incurred.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 Related to Tenant Audits/Disputes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lease agreements include provisions that grant tenants the right to engage independent auditors to audit their annual operating expense reconciliations. Such audits may result in different interpretations of language in the lease agreements from that made by Piedmont, which could result in requests for refunds of previously recognized tenant reimbursement revenues, resulting in financial loss to Piedmont. There were no such reductions during the three and nine months ended September 30, 2026 or 2025.</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Dispositions and Assets Held for Sale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properties and land parcel were sold during the nine months ended September 30, 2026 and 2025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Properties Sold</w:t>
            </w:r>
          </w:p>
        </w:tc>
        <w:tc>
          <w:tcPr>
            <w:tcW w:w="100" w:type="dxa"/>
            <w:vAlign w:val="bottom"/>
            <w:vMerge w:val="restart"/>
          </w:tcPr>
          <w:p>
            <w:pPr>
              <w:spacing w:after="0"/>
              <w:rPr>
                <w:sz w:val="13"/>
                <w:szCs w:val="13"/>
                <w:color w:val="auto"/>
              </w:rPr>
            </w:pPr>
          </w:p>
        </w:tc>
        <w:tc>
          <w:tcPr>
            <w:tcW w:w="22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Location / Reportable Segment</w:t>
            </w:r>
          </w:p>
        </w:tc>
        <w:tc>
          <w:tcPr>
            <w:tcW w:w="80" w:type="dxa"/>
            <w:vAlign w:val="bottom"/>
            <w:vMerge w:val="restart"/>
          </w:tcPr>
          <w:p>
            <w:pPr>
              <w:spacing w:after="0"/>
              <w:rPr>
                <w:sz w:val="13"/>
                <w:szCs w:val="13"/>
                <w:color w:val="auto"/>
              </w:rPr>
            </w:pPr>
          </w:p>
        </w:tc>
        <w:tc>
          <w:tcPr>
            <w:tcW w:w="2220" w:type="dxa"/>
            <w:vAlign w:val="bottom"/>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Date of Sale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 on Sale of Real</w:t>
            </w:r>
          </w:p>
        </w:tc>
        <w:tc>
          <w:tcPr>
            <w:tcW w:w="180" w:type="dxa"/>
            <w:vAlign w:val="bottom"/>
          </w:tcPr>
          <w:p>
            <w:pPr>
              <w:spacing w:after="0"/>
              <w:rPr>
                <w:sz w:val="13"/>
                <w:szCs w:val="13"/>
                <w:color w:val="auto"/>
              </w:rPr>
            </w:pPr>
          </w:p>
        </w:tc>
        <w:tc>
          <w:tcPr>
            <w:tcW w:w="14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Net Sales Proceeds</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8F4F1"/>
            </w:tcBorders>
            <w:vMerge w:val="continue"/>
          </w:tcPr>
          <w:p>
            <w:pPr>
              <w:spacing w:after="0"/>
              <w:rPr>
                <w:sz w:val="17"/>
                <w:szCs w:val="17"/>
                <w:color w:val="auto"/>
              </w:rPr>
            </w:pPr>
          </w:p>
        </w:tc>
        <w:tc>
          <w:tcPr>
            <w:tcW w:w="2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F8F4F1"/>
            </w:tcBorders>
            <w:vMerge w:val="continue"/>
          </w:tcPr>
          <w:p>
            <w:pPr>
              <w:spacing w:after="0"/>
              <w:rPr>
                <w:sz w:val="17"/>
                <w:szCs w:val="17"/>
                <w:color w:val="auto"/>
              </w:rPr>
            </w:pPr>
          </w:p>
        </w:tc>
        <w:tc>
          <w:tcPr>
            <w:tcW w:w="2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8F4F1"/>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Estate Assets</w:t>
            </w:r>
          </w:p>
        </w:tc>
        <w:tc>
          <w:tcPr>
            <w:tcW w:w="80" w:type="dxa"/>
            <w:vAlign w:val="bottom"/>
            <w:tcBorders>
              <w:bottom w:val="single" w:sz="8" w:color="F8F4F1"/>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6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161 Corporate Center</w:t>
            </w:r>
          </w:p>
        </w:tc>
        <w:tc>
          <w:tcPr>
            <w:tcW w:w="23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Irving, Texas / Dallas</w:t>
            </w:r>
          </w:p>
        </w:tc>
        <w:tc>
          <w:tcPr>
            <w:tcW w:w="2320" w:type="dxa"/>
            <w:vAlign w:val="bottom"/>
            <w:gridSpan w:val="2"/>
            <w:shd w:val="clear" w:color="auto" w:fill="F8F4F1"/>
          </w:tcPr>
          <w:p>
            <w:pPr>
              <w:jc w:val="right"/>
              <w:ind w:right="120"/>
              <w:spacing w:after="0"/>
              <w:rPr>
                <w:sz w:val="20"/>
                <w:szCs w:val="20"/>
                <w:color w:val="auto"/>
              </w:rPr>
            </w:pPr>
            <w:r>
              <w:rPr>
                <w:rFonts w:ascii="Times New Roman" w:cs="Times New Roman" w:eastAsia="Times New Roman" w:hAnsi="Times New Roman"/>
                <w:sz w:val="18"/>
                <w:szCs w:val="18"/>
                <w:color w:val="auto"/>
              </w:rPr>
              <w:t>February 18, 2025</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F8F4F1"/>
          </w:tcPr>
          <w:p>
            <w:pPr>
              <w:spacing w:after="0"/>
              <w:rPr>
                <w:sz w:val="21"/>
                <w:szCs w:val="21"/>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Boxborough, Massachusetts /</w:t>
            </w: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 and 90 Central</w:t>
            </w: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0" w:type="dxa"/>
            <w:vAlign w:val="bottom"/>
          </w:tcPr>
          <w:p>
            <w:pPr>
              <w:spacing w:after="0"/>
              <w:rPr>
                <w:sz w:val="1"/>
                <w:szCs w:val="1"/>
                <w:color w:val="auto"/>
              </w:rPr>
            </w:pPr>
          </w:p>
        </w:tc>
      </w:tr>
      <w:tr>
        <w:trPr>
          <w:trHeight w:val="243"/>
        </w:trPr>
        <w:tc>
          <w:tcPr>
            <w:tcW w:w="326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Royal Lane land parcel</w:t>
            </w:r>
          </w:p>
        </w:tc>
        <w:tc>
          <w:tcPr>
            <w:tcW w:w="23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Irving, Texas / Dallas</w:t>
            </w:r>
          </w:p>
        </w:tc>
        <w:tc>
          <w:tcPr>
            <w:tcW w:w="2320" w:type="dxa"/>
            <w:vAlign w:val="bottom"/>
            <w:gridSpan w:val="2"/>
            <w:shd w:val="clear" w:color="auto" w:fill="F8F4F1"/>
          </w:tcPr>
          <w:p>
            <w:pPr>
              <w:jc w:val="right"/>
              <w:ind w:right="120"/>
              <w:spacing w:after="0"/>
              <w:rPr>
                <w:sz w:val="20"/>
                <w:szCs w:val="20"/>
                <w:color w:val="auto"/>
              </w:rPr>
            </w:pPr>
            <w:r>
              <w:rPr>
                <w:rFonts w:ascii="Times New Roman" w:cs="Times New Roman" w:eastAsia="Times New Roman" w:hAnsi="Times New Roman"/>
                <w:sz w:val="18"/>
                <w:szCs w:val="18"/>
                <w:color w:val="auto"/>
              </w:rPr>
              <w:t>August 27, 2026</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80" w:type="dxa"/>
            <w:vAlign w:val="bottom"/>
            <w:shd w:val="clear" w:color="auto" w:fill="F8F4F1"/>
          </w:tcPr>
          <w:p>
            <w:pPr>
              <w:spacing w:after="0"/>
              <w:rPr>
                <w:sz w:val="21"/>
                <w:szCs w:val="21"/>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nine months ended September 30, 2025, Piedmont recognized a gain on sale of real estate assets of $0.7 million related to the return of amounts held in escrow for the 750 West John Carpenter building sold in July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Piedmont was under a binding contract to sell the Enclave Place project in Houston, Texas for approximately $81.8 million, which is in excess of net book value. Consequently, the project, which is assigned to the Other geographic reportable segment, met the criteria for held for sale classification as of September 30, 2026 and the assets are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presented as held for sale as of both September 30, 2026 and December 31, 2025 for comparability in the accompanying consolidated balance sheets. Additionally, the Royal Lane land parcel was sold in August 2026. The assets of this land parcel remain presented as held for sale as of December 31, 2025. Details of amounts held for sale are presented below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 assets held for sale, net:</w:t>
            </w: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F8F4F1"/>
          </w:tcPr>
          <w:p>
            <w:pPr>
              <w:ind w:left="26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1,890</w:t>
            </w:r>
          </w:p>
        </w:tc>
        <w:tc>
          <w:tcPr>
            <w:tcW w:w="200" w:type="dxa"/>
            <w:vAlign w:val="bottom"/>
            <w:shd w:val="clear" w:color="auto" w:fill="F8F4F1"/>
          </w:tcPr>
          <w:p>
            <w:pPr>
              <w:spacing w:after="0"/>
              <w:rPr>
                <w:sz w:val="21"/>
                <w:szCs w:val="21"/>
                <w:color w:val="auto"/>
              </w:rPr>
            </w:pPr>
          </w:p>
        </w:tc>
        <w:tc>
          <w:tcPr>
            <w:tcW w:w="2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189"/>
        </w:trPr>
        <w:tc>
          <w:tcPr>
            <w:tcW w:w="74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Building and improvements, less accumulated depreciation of $30,800 and $28,164 as of</w:t>
            </w:r>
          </w:p>
        </w:tc>
        <w:tc>
          <w:tcPr>
            <w:tcW w:w="20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64,613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67,249</w:t>
            </w:r>
          </w:p>
        </w:tc>
        <w:tc>
          <w:tcPr>
            <w:tcW w:w="0" w:type="dxa"/>
            <w:vAlign w:val="bottom"/>
          </w:tcPr>
          <w:p>
            <w:pPr>
              <w:spacing w:after="0"/>
              <w:rPr>
                <w:sz w:val="1"/>
                <w:szCs w:val="1"/>
                <w:color w:val="auto"/>
              </w:rPr>
            </w:pPr>
          </w:p>
        </w:tc>
      </w:tr>
      <w:tr>
        <w:trPr>
          <w:trHeight w:val="243"/>
        </w:trPr>
        <w:tc>
          <w:tcPr>
            <w:tcW w:w="7420" w:type="dxa"/>
            <w:vAlign w:val="bottom"/>
            <w:shd w:val="clear" w:color="auto" w:fill="F8F4F1"/>
          </w:tcPr>
          <w:p>
            <w:pPr>
              <w:ind w:left="2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shd w:val="clear" w:color="auto" w:fill="F8F4F1"/>
          </w:tcPr>
          <w:p>
            <w:pPr>
              <w:spacing w:after="0"/>
              <w:rPr>
                <w:sz w:val="21"/>
                <w:szCs w:val="21"/>
                <w:color w:val="auto"/>
              </w:rPr>
            </w:pPr>
          </w:p>
        </w:tc>
        <w:tc>
          <w:tcPr>
            <w:tcW w:w="1800" w:type="dxa"/>
            <w:vAlign w:val="bottom"/>
            <w:gridSpan w:val="2"/>
            <w:shd w:val="clear" w:color="auto" w:fill="F8F4F1"/>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F8F4F1"/>
          </w:tcPr>
          <w:p>
            <w:pPr>
              <w:spacing w:after="0"/>
              <w:rPr>
                <w:sz w:val="21"/>
                <w:szCs w:val="21"/>
                <w:color w:val="auto"/>
              </w:rPr>
            </w:pPr>
          </w:p>
        </w:tc>
        <w:tc>
          <w:tcPr>
            <w:tcW w:w="1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7"/>
        </w:trPr>
        <w:tc>
          <w:tcPr>
            <w:tcW w:w="7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real estate assets held for sale,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66,503</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0" w:type="dxa"/>
            <w:vAlign w:val="bottom"/>
          </w:tcPr>
          <w:p>
            <w:pPr>
              <w:spacing w:after="0"/>
              <w:rPr>
                <w:sz w:val="1"/>
                <w:szCs w:val="1"/>
                <w:color w:val="auto"/>
              </w:rPr>
            </w:pPr>
          </w:p>
        </w:tc>
      </w:tr>
      <w:tr>
        <w:trPr>
          <w:trHeight w:val="20"/>
        </w:trPr>
        <w:tc>
          <w:tcPr>
            <w:tcW w:w="7420" w:type="dxa"/>
            <w:vAlign w:val="bottom"/>
            <w:tcBorders>
              <w:bottom w:val="single" w:sz="8" w:color="F8F4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8F4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20" w:type="dxa"/>
            <w:vAlign w:val="bottom"/>
            <w:shd w:val="clear" w:color="auto" w:fill="F8F4F1"/>
          </w:tcPr>
          <w:p>
            <w:pPr>
              <w:spacing w:after="0"/>
              <w:rPr>
                <w:sz w:val="20"/>
                <w:szCs w:val="20"/>
                <w:color w:val="auto"/>
              </w:rPr>
            </w:pPr>
          </w:p>
        </w:tc>
        <w:tc>
          <w:tcPr>
            <w:tcW w:w="200" w:type="dxa"/>
            <w:vAlign w:val="bottom"/>
            <w:shd w:val="clear" w:color="auto" w:fill="F8F4F1"/>
          </w:tcPr>
          <w:p>
            <w:pPr>
              <w:spacing w:after="0"/>
              <w:rPr>
                <w:sz w:val="20"/>
                <w:szCs w:val="20"/>
                <w:color w:val="auto"/>
              </w:rPr>
            </w:pPr>
          </w:p>
        </w:tc>
        <w:tc>
          <w:tcPr>
            <w:tcW w:w="1600" w:type="dxa"/>
            <w:vAlign w:val="bottom"/>
            <w:shd w:val="clear" w:color="auto" w:fill="F8F4F1"/>
          </w:tcPr>
          <w:p>
            <w:pPr>
              <w:spacing w:after="0"/>
              <w:rPr>
                <w:sz w:val="20"/>
                <w:szCs w:val="20"/>
                <w:color w:val="auto"/>
              </w:rPr>
            </w:pPr>
          </w:p>
        </w:tc>
        <w:tc>
          <w:tcPr>
            <w:tcW w:w="200" w:type="dxa"/>
            <w:vAlign w:val="bottom"/>
            <w:shd w:val="clear" w:color="auto" w:fill="F8F4F1"/>
          </w:tcPr>
          <w:p>
            <w:pPr>
              <w:spacing w:after="0"/>
              <w:rPr>
                <w:sz w:val="20"/>
                <w:szCs w:val="20"/>
                <w:color w:val="auto"/>
              </w:rPr>
            </w:pPr>
          </w:p>
        </w:tc>
        <w:tc>
          <w:tcPr>
            <w:tcW w:w="200" w:type="dxa"/>
            <w:vAlign w:val="bottom"/>
            <w:shd w:val="clear" w:color="auto" w:fill="F8F4F1"/>
          </w:tcPr>
          <w:p>
            <w:pPr>
              <w:spacing w:after="0"/>
              <w:rPr>
                <w:sz w:val="20"/>
                <w:szCs w:val="20"/>
                <w:color w:val="auto"/>
              </w:rPr>
            </w:pPr>
          </w:p>
        </w:tc>
        <w:tc>
          <w:tcPr>
            <w:tcW w:w="1600" w:type="dxa"/>
            <w:vAlign w:val="bottom"/>
            <w:shd w:val="clear" w:color="auto" w:fill="F8F4F1"/>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held for sale, net:</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F8F4F1"/>
          </w:tcPr>
          <w:p>
            <w:pPr>
              <w:ind w:left="260"/>
              <w:spacing w:after="0"/>
              <w:rPr>
                <w:sz w:val="20"/>
                <w:szCs w:val="20"/>
                <w:color w:val="auto"/>
              </w:rPr>
            </w:pPr>
            <w:r>
              <w:rPr>
                <w:rFonts w:ascii="Times New Roman" w:cs="Times New Roman" w:eastAsia="Times New Roman" w:hAnsi="Times New Roman"/>
                <w:sz w:val="18"/>
                <w:szCs w:val="18"/>
                <w:color w:val="auto"/>
              </w:rPr>
              <w:t>Straight-line rent receivables</w:t>
            </w:r>
          </w:p>
        </w:tc>
        <w:tc>
          <w:tcPr>
            <w:tcW w:w="2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10,398</w:t>
            </w:r>
          </w:p>
        </w:tc>
        <w:tc>
          <w:tcPr>
            <w:tcW w:w="200" w:type="dxa"/>
            <w:vAlign w:val="bottom"/>
            <w:shd w:val="clear" w:color="auto" w:fill="F8F4F1"/>
          </w:tcPr>
          <w:p>
            <w:pPr>
              <w:spacing w:after="0"/>
              <w:rPr>
                <w:sz w:val="21"/>
                <w:szCs w:val="21"/>
                <w:color w:val="auto"/>
              </w:rPr>
            </w:pPr>
          </w:p>
        </w:tc>
        <w:tc>
          <w:tcPr>
            <w:tcW w:w="200" w:type="dxa"/>
            <w:vAlign w:val="bottom"/>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0" w:type="dxa"/>
            <w:vAlign w:val="bottom"/>
          </w:tcPr>
          <w:p>
            <w:pPr>
              <w:spacing w:after="0"/>
              <w:rPr>
                <w:sz w:val="1"/>
                <w:szCs w:val="1"/>
                <w:color w:val="auto"/>
              </w:rPr>
            </w:pPr>
          </w:p>
        </w:tc>
      </w:tr>
      <w:tr>
        <w:trPr>
          <w:trHeight w:val="189"/>
        </w:trPr>
        <w:tc>
          <w:tcPr>
            <w:tcW w:w="74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Deferred lease costs, less accumulated amortization of $3,426 and $3,054 as of September 30,</w:t>
            </w:r>
          </w:p>
        </w:tc>
        <w:tc>
          <w:tcPr>
            <w:tcW w:w="20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4,747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420" w:type="dxa"/>
            <w:vAlign w:val="bottom"/>
            <w:tcBorders>
              <w:bottom w:val="single" w:sz="8" w:color="F8F4F1"/>
            </w:tcBorders>
          </w:tcPr>
          <w:p>
            <w:pPr>
              <w:ind w:left="52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F8F4F1"/>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62"/>
        </w:trPr>
        <w:tc>
          <w:tcPr>
            <w:tcW w:w="7420" w:type="dxa"/>
            <w:vAlign w:val="bottom"/>
            <w:tcBorders>
              <w:bottom w:val="single" w:sz="8" w:color="F8F4F1"/>
            </w:tcBorders>
            <w:shd w:val="clear" w:color="auto" w:fill="F8F4F1"/>
          </w:tcPr>
          <w:p>
            <w:pPr>
              <w:ind w:left="840"/>
              <w:spacing w:after="0"/>
              <w:rPr>
                <w:sz w:val="20"/>
                <w:szCs w:val="20"/>
                <w:color w:val="auto"/>
              </w:rPr>
            </w:pPr>
            <w:r>
              <w:rPr>
                <w:rFonts w:ascii="Times New Roman" w:cs="Times New Roman" w:eastAsia="Times New Roman" w:hAnsi="Times New Roman"/>
                <w:sz w:val="18"/>
                <w:szCs w:val="18"/>
                <w:color w:val="auto"/>
              </w:rPr>
              <w:t>Total other assets held for sale, net</w:t>
            </w:r>
          </w:p>
        </w:tc>
        <w:tc>
          <w:tcPr>
            <w:tcW w:w="20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15,145</w:t>
            </w:r>
          </w:p>
        </w:tc>
        <w:tc>
          <w:tcPr>
            <w:tcW w:w="200" w:type="dxa"/>
            <w:vAlign w:val="bottom"/>
            <w:tcBorders>
              <w:bottom w:val="single" w:sz="8" w:color="F8F4F1"/>
            </w:tcBorders>
            <w:shd w:val="clear" w:color="auto" w:fill="F8F4F1"/>
          </w:tcPr>
          <w:p>
            <w:pPr>
              <w:spacing w:after="0"/>
              <w:rPr>
                <w:sz w:val="22"/>
                <w:szCs w:val="22"/>
                <w:color w:val="auto"/>
              </w:rPr>
            </w:pPr>
          </w:p>
        </w:tc>
        <w:tc>
          <w:tcPr>
            <w:tcW w:w="200" w:type="dxa"/>
            <w:vAlign w:val="bottom"/>
            <w:tcBorders>
              <w:bottom w:val="single" w:sz="8" w:color="auto"/>
            </w:tcBorders>
            <w:shd w:val="clear" w:color="auto" w:fill="F8F4F1"/>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0" w:type="dxa"/>
            <w:vAlign w:val="bottom"/>
          </w:tcPr>
          <w:p>
            <w:pPr>
              <w:spacing w:after="0"/>
              <w:rPr>
                <w:sz w:val="1"/>
                <w:szCs w:val="1"/>
                <w:color w:val="auto"/>
              </w:rPr>
            </w:pPr>
          </w:p>
        </w:tc>
      </w:tr>
      <w:tr>
        <w:trPr>
          <w:trHeight w:val="20"/>
        </w:trPr>
        <w:tc>
          <w:tcPr>
            <w:tcW w:w="742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600" w:type="dxa"/>
            <w:vAlign w:val="bottom"/>
            <w:tcBorders>
              <w:top w:val="single" w:sz="8" w:color="F8F4F1"/>
              <w:bottom w:val="single" w:sz="8" w:color="auto"/>
            </w:tcBorders>
          </w:tcPr>
          <w:p>
            <w:pPr>
              <w:spacing w:after="0" w:line="20" w:lineRule="exact"/>
              <w:rPr>
                <w:sz w:val="1"/>
                <w:szCs w:val="1"/>
                <w:color w:val="auto"/>
              </w:rPr>
            </w:pPr>
          </w:p>
        </w:tc>
        <w:tc>
          <w:tcPr>
            <w:tcW w:w="200" w:type="dxa"/>
            <w:vAlign w:val="bottom"/>
            <w:tcBorders>
              <w:top w:val="single" w:sz="8" w:color="F8F4F1"/>
            </w:tcBorders>
          </w:tcPr>
          <w:p>
            <w:pPr>
              <w:spacing w:after="0" w:line="20" w:lineRule="exact"/>
              <w:rPr>
                <w:sz w:val="1"/>
                <w:szCs w:val="1"/>
                <w:color w:val="auto"/>
              </w:rPr>
            </w:pPr>
          </w:p>
        </w:tc>
        <w:tc>
          <w:tcPr>
            <w:tcW w:w="200" w:type="dxa"/>
            <w:vAlign w:val="bottom"/>
            <w:tcBorders>
              <w:top w:val="single" w:sz="8" w:color="F8F4F1"/>
              <w:bottom w:val="single" w:sz="8" w:color="auto"/>
            </w:tcBorders>
          </w:tcPr>
          <w:p>
            <w:pPr>
              <w:spacing w:after="0" w:line="20" w:lineRule="exact"/>
              <w:rPr>
                <w:sz w:val="1"/>
                <w:szCs w:val="1"/>
                <w:color w:val="auto"/>
              </w:rPr>
            </w:pPr>
          </w:p>
        </w:tc>
        <w:tc>
          <w:tcPr>
            <w:tcW w:w="160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 liabilities held for sale:</w:t>
            </w:r>
          </w:p>
        </w:tc>
        <w:tc>
          <w:tcPr>
            <w:tcW w:w="200" w:type="dxa"/>
            <w:vAlign w:val="bottom"/>
            <w:shd w:val="clear" w:color="auto" w:fill="F8F4F1"/>
          </w:tcPr>
          <w:p>
            <w:pPr>
              <w:spacing w:after="0"/>
              <w:rPr>
                <w:sz w:val="21"/>
                <w:szCs w:val="21"/>
                <w:color w:val="auto"/>
              </w:rPr>
            </w:pPr>
          </w:p>
        </w:tc>
        <w:tc>
          <w:tcPr>
            <w:tcW w:w="16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200" w:type="dxa"/>
            <w:vAlign w:val="bottom"/>
            <w:shd w:val="clear" w:color="auto" w:fill="F8F4F1"/>
          </w:tcPr>
          <w:p>
            <w:pPr>
              <w:spacing w:after="0"/>
              <w:rPr>
                <w:sz w:val="21"/>
                <w:szCs w:val="21"/>
                <w:color w:val="auto"/>
              </w:rPr>
            </w:pPr>
          </w:p>
        </w:tc>
        <w:tc>
          <w:tcPr>
            <w:tcW w:w="16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2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 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Annually, the Compensation Committee of Piedmont's Board of Directors has granted deferred stock award units to certain employees at its discretion. Employee awards typically vest ratably over four years. In addition, Piedmont's independent directors receive an annual grant of deferred stock award units for services rendered and such awards vest over a one-year service period.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time-based awards discussed above, certain management employees also participate in a multi-year performance share program whereby actual awards are contingent upon Piedmont's total stockholder return ("TSR") performance relative to the TSR of a peer group of office REITs. The number of shares earned, if any, are determined at the end of the multi-year performance period (or upon the participant's termination) and vest immediately. The grant date fair value of the multi-year performance share awards is estimated using the Monte Carlo valuation method and is recognized ratably over the performance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 forward of Piedmont's equity-based award activity for the nine months ended September 30, 2026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7880" w:type="dxa"/>
            <w:vAlign w:val="bottom"/>
            <w:tcBorders>
              <w:bottom w:val="single" w:sz="8" w:color="F8F4F1"/>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F8F4F1"/>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42"/>
        </w:trPr>
        <w:tc>
          <w:tcPr>
            <w:tcW w:w="788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Unvested and Potential Stock Awards as of December 31, 2025</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3,953,854</w:t>
            </w:r>
          </w:p>
        </w:tc>
        <w:tc>
          <w:tcPr>
            <w:tcW w:w="48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Stock Awards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571,098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43"/>
        </w:trPr>
        <w:tc>
          <w:tcPr>
            <w:tcW w:w="788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Performance Stock Awards Granted</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528,963</w:t>
            </w:r>
          </w:p>
        </w:tc>
        <w:tc>
          <w:tcPr>
            <w:tcW w:w="48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Potential Share Awards based on TSR Performance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43"/>
        </w:trPr>
        <w:tc>
          <w:tcPr>
            <w:tcW w:w="788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Performance Stock Awards Vested</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(471,324)</w:t>
            </w:r>
          </w:p>
        </w:tc>
        <w:tc>
          <w:tcPr>
            <w:tcW w:w="48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F8F4F1"/>
            </w:tcBorders>
          </w:tcPr>
          <w:p>
            <w:pPr>
              <w:ind w:left="20"/>
              <w:spacing w:after="0"/>
              <w:rPr>
                <w:sz w:val="20"/>
                <w:szCs w:val="20"/>
                <w:color w:val="auto"/>
              </w:rPr>
            </w:pPr>
            <w:r>
              <w:rPr>
                <w:rFonts w:ascii="Times New Roman" w:cs="Times New Roman" w:eastAsia="Times New Roman" w:hAnsi="Times New Roman"/>
                <w:sz w:val="18"/>
                <w:szCs w:val="18"/>
                <w:color w:val="auto"/>
              </w:rPr>
              <w:t>Deferred Stock Awards 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(509,220)</w:t>
            </w:r>
          </w:p>
        </w:tc>
        <w:tc>
          <w:tcPr>
            <w:tcW w:w="480" w:type="dxa"/>
            <w:vAlign w:val="bottom"/>
            <w:tcBorders>
              <w:bottom w:val="single" w:sz="8" w:color="F8F4F1"/>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F8F4F1"/>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62"/>
        </w:trPr>
        <w:tc>
          <w:tcPr>
            <w:tcW w:w="7880" w:type="dxa"/>
            <w:vAlign w:val="bottom"/>
            <w:tcBorders>
              <w:bottom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Unvested and Potential Stock Awards as of September 30, 2026</w:t>
            </w: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4,224,648</w:t>
            </w:r>
          </w:p>
        </w:tc>
        <w:tc>
          <w:tcPr>
            <w:tcW w:w="480" w:type="dxa"/>
            <w:vAlign w:val="bottom"/>
            <w:tcBorders>
              <w:bottom w:val="single" w:sz="8" w:color="F8F4F1"/>
            </w:tcBorders>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F8F4F1"/>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7880" w:type="dxa"/>
            <w:vAlign w:val="bottom"/>
            <w:tcBorders>
              <w:top w:val="single" w:sz="8" w:color="F8F4F1"/>
            </w:tcBorders>
          </w:tcPr>
          <w:p>
            <w:pPr>
              <w:spacing w:after="0" w:line="20" w:lineRule="exact"/>
              <w:rPr>
                <w:sz w:val="1"/>
                <w:szCs w:val="1"/>
                <w:color w:val="auto"/>
              </w:rPr>
            </w:pPr>
          </w:p>
        </w:tc>
        <w:tc>
          <w:tcPr>
            <w:tcW w:w="1500" w:type="dxa"/>
            <w:vAlign w:val="bottom"/>
            <w:tcBorders>
              <w:top w:val="single" w:sz="8" w:color="F8F4F1"/>
              <w:bottom w:val="single" w:sz="8" w:color="auto"/>
            </w:tcBorders>
          </w:tcPr>
          <w:p>
            <w:pPr>
              <w:spacing w:after="0" w:line="20" w:lineRule="exact"/>
              <w:rPr>
                <w:sz w:val="1"/>
                <w:szCs w:val="1"/>
                <w:color w:val="auto"/>
              </w:rPr>
            </w:pPr>
          </w:p>
        </w:tc>
        <w:tc>
          <w:tcPr>
            <w:tcW w:w="340" w:type="dxa"/>
            <w:vAlign w:val="bottom"/>
            <w:tcBorders>
              <w:top w:val="single" w:sz="8" w:color="F8F4F1"/>
            </w:tcBorders>
          </w:tcPr>
          <w:p>
            <w:pPr>
              <w:spacing w:after="0" w:line="20" w:lineRule="exact"/>
              <w:rPr>
                <w:sz w:val="1"/>
                <w:szCs w:val="1"/>
                <w:color w:val="auto"/>
              </w:rPr>
            </w:pPr>
          </w:p>
        </w:tc>
        <w:tc>
          <w:tcPr>
            <w:tcW w:w="140" w:type="dxa"/>
            <w:vAlign w:val="bottom"/>
            <w:tcBorders>
              <w:top w:val="single" w:sz="8" w:color="F8F4F1"/>
            </w:tcBorders>
          </w:tcPr>
          <w:p>
            <w:pPr>
              <w:spacing w:after="0" w:line="20" w:lineRule="exact"/>
              <w:rPr>
                <w:sz w:val="1"/>
                <w:szCs w:val="1"/>
                <w:color w:val="auto"/>
              </w:rPr>
            </w:pPr>
          </w:p>
        </w:tc>
        <w:tc>
          <w:tcPr>
            <w:tcW w:w="1380" w:type="dxa"/>
            <w:vAlign w:val="bottom"/>
            <w:tcBorders>
              <w:top w:val="single" w:sz="8" w:color="F8F4F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stock award activity during the three and nine months ended September 30, 2026 and 2025, respectively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90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6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60" w:type="dxa"/>
            <w:vAlign w:val="bottom"/>
          </w:tcPr>
          <w:p>
            <w:pPr>
              <w:jc w:val="right"/>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F8F4F1"/>
            </w:tcBorders>
          </w:tcPr>
          <w:p>
            <w:pPr>
              <w:spacing w:after="0"/>
              <w:rPr>
                <w:sz w:val="16"/>
                <w:szCs w:val="16"/>
                <w:color w:val="auto"/>
              </w:rPr>
            </w:pPr>
          </w:p>
        </w:tc>
        <w:tc>
          <w:tcPr>
            <w:tcW w:w="11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F8F4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F8F4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F8F4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4"/>
        </w:trPr>
        <w:tc>
          <w:tcPr>
            <w:tcW w:w="5620" w:type="dxa"/>
            <w:vAlign w:val="bottom"/>
            <w:shd w:val="clear" w:color="auto" w:fill="F8F4F1"/>
          </w:tcPr>
          <w:p>
            <w:pPr>
              <w:ind w:left="20"/>
              <w:spacing w:after="0" w:line="174" w:lineRule="exact"/>
              <w:rPr>
                <w:sz w:val="20"/>
                <w:szCs w:val="20"/>
                <w:color w:val="auto"/>
              </w:rPr>
            </w:pPr>
            <w:r>
              <w:rPr>
                <w:rFonts w:ascii="Times New Roman" w:cs="Times New Roman" w:eastAsia="Times New Roman" w:hAnsi="Times New Roman"/>
                <w:sz w:val="18"/>
                <w:szCs w:val="18"/>
                <w:color w:val="auto"/>
              </w:rPr>
              <w:t>Weighted-Average Grant Date Fair Value per share of Deferred Stock</w:t>
            </w:r>
          </w:p>
        </w:tc>
        <w:tc>
          <w:tcPr>
            <w:tcW w:w="1120" w:type="dxa"/>
            <w:vAlign w:val="bottom"/>
            <w:vMerge w:val="restart"/>
            <w:shd w:val="clear" w:color="auto" w:fill="F8F4F1"/>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gridSpan w:val="2"/>
            <w:vMerge w:val="restart"/>
            <w:shd w:val="clear" w:color="auto" w:fill="F8F4F1"/>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spacing w:after="0"/>
              <w:rPr>
                <w:sz w:val="15"/>
                <w:szCs w:val="15"/>
                <w:color w:val="auto"/>
              </w:rPr>
            </w:pPr>
          </w:p>
        </w:tc>
        <w:tc>
          <w:tcPr>
            <w:tcW w:w="11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1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c>
          <w:tcPr>
            <w:tcW w:w="120" w:type="dxa"/>
            <w:vAlign w:val="bottom"/>
            <w:shd w:val="clear" w:color="auto" w:fill="F8F4F1"/>
          </w:tcPr>
          <w:p>
            <w:pPr>
              <w:spacing w:after="0"/>
              <w:rPr>
                <w:sz w:val="15"/>
                <w:szCs w:val="15"/>
                <w:color w:val="auto"/>
              </w:rPr>
            </w:pPr>
          </w:p>
        </w:tc>
        <w:tc>
          <w:tcPr>
            <w:tcW w:w="160" w:type="dxa"/>
            <w:vAlign w:val="bottom"/>
            <w:shd w:val="clear" w:color="auto" w:fill="F8F4F1"/>
          </w:tcPr>
          <w:p>
            <w:pPr>
              <w:spacing w:after="0"/>
              <w:rPr>
                <w:sz w:val="15"/>
                <w:szCs w:val="15"/>
                <w:color w:val="auto"/>
              </w:rPr>
            </w:pPr>
          </w:p>
        </w:tc>
        <w:tc>
          <w:tcPr>
            <w:tcW w:w="116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120" w:type="dxa"/>
            <w:vAlign w:val="bottom"/>
            <w:vMerge w:val="continue"/>
            <w:shd w:val="clear" w:color="auto" w:fill="F8F4F1"/>
          </w:tcPr>
          <w:p>
            <w:pPr>
              <w:spacing w:after="0"/>
              <w:rPr>
                <w:sz w:val="21"/>
                <w:szCs w:val="21"/>
                <w:color w:val="auto"/>
              </w:rPr>
            </w:pPr>
          </w:p>
        </w:tc>
        <w:tc>
          <w:tcPr>
            <w:tcW w:w="360" w:type="dxa"/>
            <w:vAlign w:val="bottom"/>
            <w:gridSpan w:val="2"/>
            <w:vMerge w:val="continue"/>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shd w:val="clear" w:color="auto" w:fill="F8F4F1"/>
          </w:tcPr>
          <w:p>
            <w:pPr>
              <w:spacing w:after="0"/>
              <w:rPr>
                <w:sz w:val="21"/>
                <w:szCs w:val="21"/>
                <w:color w:val="auto"/>
              </w:rPr>
            </w:pPr>
          </w:p>
        </w:tc>
        <w:tc>
          <w:tcPr>
            <w:tcW w:w="1120" w:type="dxa"/>
            <w:vAlign w:val="bottom"/>
            <w:vMerge w:val="continue"/>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Grant Date Fair Value of Deferred Stock Vested During the Period</w:t>
            </w:r>
          </w:p>
        </w:tc>
        <w:tc>
          <w:tcPr>
            <w:tcW w:w="1120" w:type="dxa"/>
            <w:vAlign w:val="bottom"/>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Piedmont’s outstanding stock awards and programs as of September 30, 2026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Shares</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20" w:type="dxa"/>
            <w:vAlign w:val="bottom"/>
          </w:tcPr>
          <w:p>
            <w:pPr>
              <w:spacing w:after="0"/>
              <w:rPr>
                <w:sz w:val="12"/>
                <w:szCs w:val="12"/>
                <w:color w:val="auto"/>
              </w:rPr>
            </w:pP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0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358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120" w:type="dxa"/>
            <w:vAlign w:val="bottom"/>
            <w:vMerge w:val="restart"/>
          </w:tcPr>
          <w:p>
            <w:pPr>
              <w:spacing w:after="0"/>
              <w:rPr>
                <w:sz w:val="12"/>
                <w:szCs w:val="12"/>
                <w:color w:val="auto"/>
              </w:rPr>
            </w:pPr>
          </w:p>
        </w:tc>
        <w:tc>
          <w:tcPr>
            <w:tcW w:w="15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Unvested Shares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F8F4F1"/>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F8F4F1"/>
            </w:tcBorders>
            <w:vMerge w:val="continue"/>
          </w:tcPr>
          <w:p>
            <w:pPr>
              <w:spacing w:after="0"/>
              <w:rPr>
                <w:sz w:val="17"/>
                <w:szCs w:val="17"/>
                <w:color w:val="auto"/>
              </w:rPr>
            </w:pPr>
          </w:p>
        </w:tc>
        <w:tc>
          <w:tcPr>
            <w:tcW w:w="1040" w:type="dxa"/>
            <w:vAlign w:val="bottom"/>
            <w:tcBorders>
              <w:bottom w:val="single" w:sz="8" w:color="auto"/>
            </w:tcBorders>
          </w:tcPr>
          <w:p>
            <w:pPr>
              <w:ind w:left="18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Granted </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F8F4F1"/>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F8F4F1"/>
            </w:tcBorders>
          </w:tcPr>
          <w:p>
            <w:pPr>
              <w:spacing w:after="0"/>
              <w:rPr>
                <w:sz w:val="17"/>
                <w:szCs w:val="17"/>
                <w:color w:val="auto"/>
              </w:rPr>
            </w:pPr>
          </w:p>
        </w:tc>
        <w:tc>
          <w:tcPr>
            <w:tcW w:w="3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F8F4F1"/>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F8F4F1"/>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F8F4F1"/>
          </w:tcPr>
          <w:p>
            <w:pPr>
              <w:ind w:left="20"/>
              <w:spacing w:after="0" w:line="182" w:lineRule="exact"/>
              <w:rPr>
                <w:sz w:val="20"/>
                <w:szCs w:val="20"/>
                <w:color w:val="auto"/>
              </w:rPr>
            </w:pPr>
            <w:r>
              <w:rPr>
                <w:rFonts w:ascii="Times New Roman" w:cs="Times New Roman" w:eastAsia="Times New Roman" w:hAnsi="Times New Roman"/>
                <w:sz w:val="18"/>
                <w:szCs w:val="18"/>
                <w:color w:val="auto"/>
              </w:rPr>
              <w:t>February 23, 2023</w:t>
            </w:r>
          </w:p>
        </w:tc>
        <w:tc>
          <w:tcPr>
            <w:tcW w:w="120" w:type="dxa"/>
            <w:vAlign w:val="bottom"/>
            <w:shd w:val="clear" w:color="auto" w:fill="F8F4F1"/>
          </w:tcPr>
          <w:p>
            <w:pPr>
              <w:spacing w:after="0"/>
              <w:rPr>
                <w:sz w:val="15"/>
                <w:szCs w:val="15"/>
                <w:color w:val="auto"/>
              </w:rPr>
            </w:pPr>
          </w:p>
        </w:tc>
        <w:tc>
          <w:tcPr>
            <w:tcW w:w="1640" w:type="dxa"/>
            <w:vAlign w:val="bottom"/>
            <w:gridSpan w:val="2"/>
            <w:shd w:val="clear" w:color="auto" w:fill="F8F4F1"/>
          </w:tcPr>
          <w:p>
            <w:pPr>
              <w:ind w:left="20"/>
              <w:spacing w:after="0" w:line="182" w:lineRule="exact"/>
              <w:rPr>
                <w:sz w:val="20"/>
                <w:szCs w:val="20"/>
                <w:color w:val="auto"/>
              </w:rPr>
            </w:pPr>
            <w:r>
              <w:rPr>
                <w:rFonts w:ascii="Times New Roman" w:cs="Times New Roman" w:eastAsia="Times New Roman" w:hAnsi="Times New Roman"/>
                <w:sz w:val="18"/>
                <w:szCs w:val="18"/>
                <w:color w:val="auto"/>
              </w:rPr>
              <w:t>Deferred Stock</w:t>
            </w:r>
          </w:p>
        </w:tc>
        <w:tc>
          <w:tcPr>
            <w:tcW w:w="1040" w:type="dxa"/>
            <w:vAlign w:val="bottom"/>
            <w:shd w:val="clear" w:color="auto" w:fill="F8F4F1"/>
          </w:tcPr>
          <w:p>
            <w:pPr>
              <w:jc w:val="right"/>
              <w:spacing w:after="0" w:line="182" w:lineRule="exact"/>
              <w:rPr>
                <w:sz w:val="20"/>
                <w:szCs w:val="20"/>
                <w:color w:val="auto"/>
              </w:rPr>
            </w:pPr>
            <w:r>
              <w:rPr>
                <w:rFonts w:ascii="Times New Roman" w:cs="Times New Roman" w:eastAsia="Times New Roman" w:hAnsi="Times New Roman"/>
                <w:sz w:val="18"/>
                <w:szCs w:val="18"/>
                <w:color w:val="auto"/>
              </w:rPr>
              <w:t>284,234</w:t>
            </w:r>
          </w:p>
        </w:tc>
        <w:tc>
          <w:tcPr>
            <w:tcW w:w="120" w:type="dxa"/>
            <w:vAlign w:val="bottom"/>
            <w:shd w:val="clear" w:color="auto" w:fill="F8F4F1"/>
          </w:tcPr>
          <w:p>
            <w:pPr>
              <w:spacing w:after="0"/>
              <w:rPr>
                <w:sz w:val="15"/>
                <w:szCs w:val="15"/>
                <w:color w:val="auto"/>
              </w:rPr>
            </w:pPr>
          </w:p>
        </w:tc>
        <w:tc>
          <w:tcPr>
            <w:tcW w:w="120" w:type="dxa"/>
            <w:vAlign w:val="bottom"/>
            <w:shd w:val="clear" w:color="auto" w:fill="F8F4F1"/>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F8F4F1"/>
          </w:tcPr>
          <w:p>
            <w:pPr>
              <w:jc w:val="right"/>
              <w:spacing w:after="0" w:line="182" w:lineRule="exact"/>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F8F4F1"/>
          </w:tcPr>
          <w:p>
            <w:pPr>
              <w:spacing w:after="0"/>
              <w:rPr>
                <w:sz w:val="15"/>
                <w:szCs w:val="15"/>
                <w:color w:val="auto"/>
              </w:rPr>
            </w:pPr>
          </w:p>
        </w:tc>
        <w:tc>
          <w:tcPr>
            <w:tcW w:w="3700" w:type="dxa"/>
            <w:vAlign w:val="bottom"/>
            <w:gridSpan w:val="2"/>
            <w:shd w:val="clear" w:color="auto" w:fill="F8F4F1"/>
          </w:tcPr>
          <w:p>
            <w:pPr>
              <w:ind w:left="20"/>
              <w:spacing w:after="0" w:line="182" w:lineRule="exact"/>
              <w:rPr>
                <w:sz w:val="20"/>
                <w:szCs w:val="20"/>
                <w:color w:val="auto"/>
              </w:rPr>
            </w:pPr>
            <w:r>
              <w:rPr>
                <w:rFonts w:ascii="Times New Roman" w:cs="Times New Roman" w:eastAsia="Times New Roman" w:hAnsi="Times New Roman"/>
                <w:sz w:val="18"/>
                <w:szCs w:val="18"/>
                <w:color w:val="auto"/>
              </w:rPr>
              <w:t>Of the shares granted, 25% will vest on February</w:t>
            </w:r>
          </w:p>
        </w:tc>
        <w:tc>
          <w:tcPr>
            <w:tcW w:w="1560" w:type="dxa"/>
            <w:vAlign w:val="bottom"/>
            <w:shd w:val="clear" w:color="auto" w:fill="F8F4F1"/>
          </w:tcPr>
          <w:p>
            <w:pPr>
              <w:jc w:val="right"/>
              <w:spacing w:after="0" w:line="182" w:lineRule="exact"/>
              <w:rPr>
                <w:sz w:val="20"/>
                <w:szCs w:val="20"/>
                <w:color w:val="auto"/>
              </w:rPr>
            </w:pPr>
            <w:r>
              <w:rPr>
                <w:rFonts w:ascii="Times New Roman" w:cs="Times New Roman" w:eastAsia="Times New Roman" w:hAnsi="Times New Roman"/>
                <w:sz w:val="18"/>
                <w:szCs w:val="18"/>
                <w:color w:val="auto"/>
              </w:rPr>
              <w:t>80,729</w:t>
            </w:r>
          </w:p>
        </w:tc>
        <w:tc>
          <w:tcPr>
            <w:tcW w:w="34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6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7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37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23, 2024, 2025, 2026, and 2027, respectively.</w:t>
            </w:r>
          </w:p>
        </w:tc>
        <w:tc>
          <w:tcPr>
            <w:tcW w:w="1560" w:type="dxa"/>
            <w:vAlign w:val="bottom"/>
            <w:shd w:val="clear" w:color="auto" w:fill="F8F4F1"/>
          </w:tcPr>
          <w:p>
            <w:pPr>
              <w:spacing w:after="0"/>
              <w:rPr>
                <w:sz w:val="21"/>
                <w:szCs w:val="21"/>
                <w:color w:val="auto"/>
              </w:rPr>
            </w:pPr>
          </w:p>
        </w:tc>
        <w:tc>
          <w:tcPr>
            <w:tcW w:w="34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 2024</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2024-2026</w:t>
            </w:r>
          </w:p>
        </w:tc>
        <w:tc>
          <w:tcPr>
            <w:tcW w:w="1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awarded, if any, will vest immediately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1,035,878</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Share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upon determination of award in 2027.</w:t>
            </w: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February 20, 2024</w:t>
            </w:r>
          </w:p>
        </w:tc>
        <w:tc>
          <w:tcPr>
            <w:tcW w:w="120" w:type="dxa"/>
            <w:vAlign w:val="bottom"/>
            <w:shd w:val="clear" w:color="auto" w:fill="F8F4F1"/>
          </w:tcPr>
          <w:p>
            <w:pPr>
              <w:spacing w:after="0"/>
              <w:rPr>
                <w:sz w:val="16"/>
                <w:szCs w:val="16"/>
                <w:color w:val="auto"/>
              </w:rPr>
            </w:pPr>
          </w:p>
        </w:tc>
        <w:tc>
          <w:tcPr>
            <w:tcW w:w="1640" w:type="dxa"/>
            <w:vAlign w:val="bottom"/>
            <w:gridSpan w:val="2"/>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Deferred Stock</w:t>
            </w:r>
          </w:p>
        </w:tc>
        <w:tc>
          <w:tcPr>
            <w:tcW w:w="104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419,055</w:t>
            </w:r>
          </w:p>
        </w:tc>
        <w:tc>
          <w:tcPr>
            <w:tcW w:w="120" w:type="dxa"/>
            <w:vAlign w:val="bottom"/>
            <w:shd w:val="clear" w:color="auto" w:fill="F8F4F1"/>
          </w:tcPr>
          <w:p>
            <w:pPr>
              <w:spacing w:after="0"/>
              <w:rPr>
                <w:sz w:val="16"/>
                <w:szCs w:val="16"/>
                <w:color w:val="auto"/>
              </w:rPr>
            </w:pPr>
          </w:p>
        </w:tc>
        <w:tc>
          <w:tcPr>
            <w:tcW w:w="12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F8F4F1"/>
          </w:tcPr>
          <w:p>
            <w:pPr>
              <w:spacing w:after="0"/>
              <w:rPr>
                <w:sz w:val="16"/>
                <w:szCs w:val="16"/>
                <w:color w:val="auto"/>
              </w:rPr>
            </w:pPr>
          </w:p>
        </w:tc>
        <w:tc>
          <w:tcPr>
            <w:tcW w:w="3700" w:type="dxa"/>
            <w:vAlign w:val="bottom"/>
            <w:gridSpan w:val="2"/>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Of the shares granted, 25% will vest on February</w:t>
            </w:r>
          </w:p>
        </w:tc>
        <w:tc>
          <w:tcPr>
            <w:tcW w:w="156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234,267</w:t>
            </w:r>
          </w:p>
        </w:tc>
        <w:tc>
          <w:tcPr>
            <w:tcW w:w="3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6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7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37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20, 2025, 2026, 2027, and 2028, respectively.</w:t>
            </w:r>
          </w:p>
        </w:tc>
        <w:tc>
          <w:tcPr>
            <w:tcW w:w="1560" w:type="dxa"/>
            <w:vAlign w:val="bottom"/>
            <w:shd w:val="clear" w:color="auto" w:fill="F8F4F1"/>
          </w:tcPr>
          <w:p>
            <w:pPr>
              <w:spacing w:after="0"/>
              <w:rPr>
                <w:sz w:val="21"/>
                <w:szCs w:val="21"/>
                <w:color w:val="auto"/>
              </w:rPr>
            </w:pPr>
          </w:p>
        </w:tc>
        <w:tc>
          <w:tcPr>
            <w:tcW w:w="34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2024</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shares granted, 25% will vest on October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2025, 2026, 2027, and 2028, respectively.</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October 28, 2024</w:t>
            </w:r>
          </w:p>
        </w:tc>
        <w:tc>
          <w:tcPr>
            <w:tcW w:w="120" w:type="dxa"/>
            <w:vAlign w:val="bottom"/>
            <w:shd w:val="clear" w:color="auto" w:fill="F8F4F1"/>
          </w:tcPr>
          <w:p>
            <w:pPr>
              <w:spacing w:after="0"/>
              <w:rPr>
                <w:sz w:val="16"/>
                <w:szCs w:val="16"/>
                <w:color w:val="auto"/>
              </w:rPr>
            </w:pPr>
          </w:p>
        </w:tc>
        <w:tc>
          <w:tcPr>
            <w:tcW w:w="1640" w:type="dxa"/>
            <w:vAlign w:val="bottom"/>
            <w:gridSpan w:val="2"/>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Deferred Stock</w:t>
            </w:r>
          </w:p>
        </w:tc>
        <w:tc>
          <w:tcPr>
            <w:tcW w:w="104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322,101</w:t>
            </w:r>
          </w:p>
        </w:tc>
        <w:tc>
          <w:tcPr>
            <w:tcW w:w="120" w:type="dxa"/>
            <w:vAlign w:val="bottom"/>
            <w:shd w:val="clear" w:color="auto" w:fill="F8F4F1"/>
          </w:tcPr>
          <w:p>
            <w:pPr>
              <w:spacing w:after="0"/>
              <w:rPr>
                <w:sz w:val="16"/>
                <w:szCs w:val="16"/>
                <w:color w:val="auto"/>
              </w:rPr>
            </w:pPr>
          </w:p>
        </w:tc>
        <w:tc>
          <w:tcPr>
            <w:tcW w:w="12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F8F4F1"/>
          </w:tcPr>
          <w:p>
            <w:pPr>
              <w:spacing w:after="0"/>
              <w:rPr>
                <w:sz w:val="16"/>
                <w:szCs w:val="16"/>
                <w:color w:val="auto"/>
              </w:rPr>
            </w:pPr>
          </w:p>
        </w:tc>
        <w:tc>
          <w:tcPr>
            <w:tcW w:w="3700" w:type="dxa"/>
            <w:vAlign w:val="bottom"/>
            <w:gridSpan w:val="2"/>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Of the shares granted, 100% will vest on</w:t>
            </w:r>
          </w:p>
        </w:tc>
        <w:tc>
          <w:tcPr>
            <w:tcW w:w="156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322,101</w:t>
            </w:r>
          </w:p>
        </w:tc>
        <w:tc>
          <w:tcPr>
            <w:tcW w:w="340" w:type="dxa"/>
            <w:vAlign w:val="bottom"/>
            <w:shd w:val="clear" w:color="auto" w:fill="F8F4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6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7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370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October 28, 2029.</w:t>
            </w:r>
          </w:p>
        </w:tc>
        <w:tc>
          <w:tcPr>
            <w:tcW w:w="1560" w:type="dxa"/>
            <w:vAlign w:val="bottom"/>
            <w:shd w:val="clear" w:color="auto" w:fill="F8F4F1"/>
          </w:tcPr>
          <w:p>
            <w:pPr>
              <w:spacing w:after="0"/>
              <w:rPr>
                <w:sz w:val="21"/>
                <w:szCs w:val="21"/>
                <w:color w:val="auto"/>
              </w:rPr>
            </w:pPr>
          </w:p>
        </w:tc>
        <w:tc>
          <w:tcPr>
            <w:tcW w:w="34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shares granted, 25% will vest on February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2026, 2027, 2028, and 2029, respectively.</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February 3, 2025</w:t>
            </w:r>
          </w:p>
        </w:tc>
        <w:tc>
          <w:tcPr>
            <w:tcW w:w="1660" w:type="dxa"/>
            <w:vAlign w:val="bottom"/>
            <w:gridSpan w:val="2"/>
            <w:shd w:val="clear" w:color="auto" w:fill="F8F4F1"/>
          </w:tcPr>
          <w:p>
            <w:pPr>
              <w:ind w:left="140"/>
              <w:spacing w:after="0" w:line="189" w:lineRule="exact"/>
              <w:rPr>
                <w:sz w:val="20"/>
                <w:szCs w:val="20"/>
                <w:color w:val="auto"/>
              </w:rPr>
            </w:pPr>
            <w:r>
              <w:rPr>
                <w:rFonts w:ascii="Times New Roman" w:cs="Times New Roman" w:eastAsia="Times New Roman" w:hAnsi="Times New Roman"/>
                <w:sz w:val="18"/>
                <w:szCs w:val="18"/>
                <w:color w:val="auto"/>
              </w:rPr>
              <w:t>2025-2027</w:t>
            </w:r>
          </w:p>
        </w:tc>
        <w:tc>
          <w:tcPr>
            <w:tcW w:w="100" w:type="dxa"/>
            <w:vAlign w:val="bottom"/>
            <w:shd w:val="clear" w:color="auto" w:fill="F8F4F1"/>
          </w:tcPr>
          <w:p>
            <w:pPr>
              <w:spacing w:after="0"/>
              <w:rPr>
                <w:sz w:val="16"/>
                <w:szCs w:val="16"/>
                <w:color w:val="auto"/>
              </w:rPr>
            </w:pPr>
          </w:p>
        </w:tc>
        <w:tc>
          <w:tcPr>
            <w:tcW w:w="1160" w:type="dxa"/>
            <w:vAlign w:val="bottom"/>
            <w:gridSpan w:val="2"/>
            <w:shd w:val="clear" w:color="auto" w:fill="F8F4F1"/>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F8F4F1"/>
          </w:tcPr>
          <w:p>
            <w:pPr>
              <w:spacing w:after="0"/>
              <w:rPr>
                <w:sz w:val="16"/>
                <w:szCs w:val="16"/>
                <w:color w:val="auto"/>
              </w:rPr>
            </w:pPr>
          </w:p>
        </w:tc>
        <w:tc>
          <w:tcPr>
            <w:tcW w:w="3700" w:type="dxa"/>
            <w:vAlign w:val="bottom"/>
            <w:gridSpan w:val="2"/>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Shares awarded, if any, will vest immediately</w:t>
            </w:r>
          </w:p>
        </w:tc>
        <w:tc>
          <w:tcPr>
            <w:tcW w:w="156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1,007,634</w:t>
            </w:r>
          </w:p>
        </w:tc>
        <w:tc>
          <w:tcPr>
            <w:tcW w:w="340" w:type="dxa"/>
            <w:vAlign w:val="bottom"/>
            <w:shd w:val="clear" w:color="auto" w:fill="F8F4F1"/>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175"/>
        </w:trPr>
        <w:tc>
          <w:tcPr>
            <w:tcW w:w="170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1640" w:type="dxa"/>
            <w:vAlign w:val="bottom"/>
            <w:gridSpan w:val="2"/>
            <w:shd w:val="clear" w:color="auto" w:fill="F8F4F1"/>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Share</w:t>
            </w:r>
          </w:p>
        </w:tc>
        <w:tc>
          <w:tcPr>
            <w:tcW w:w="10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3700" w:type="dxa"/>
            <w:vAlign w:val="bottom"/>
            <w:gridSpan w:val="2"/>
            <w:shd w:val="clear" w:color="auto" w:fill="F8F4F1"/>
          </w:tcPr>
          <w:p>
            <w:pPr>
              <w:ind w:left="20"/>
              <w:spacing w:after="0" w:line="176" w:lineRule="exact"/>
              <w:rPr>
                <w:sz w:val="20"/>
                <w:szCs w:val="20"/>
                <w:color w:val="auto"/>
              </w:rPr>
            </w:pPr>
            <w:r>
              <w:rPr>
                <w:rFonts w:ascii="Times New Roman" w:cs="Times New Roman" w:eastAsia="Times New Roman" w:hAnsi="Times New Roman"/>
                <w:sz w:val="18"/>
                <w:szCs w:val="18"/>
                <w:color w:val="auto"/>
              </w:rPr>
              <w:t>upon determination of award in 2028.</w:t>
            </w:r>
          </w:p>
        </w:tc>
        <w:tc>
          <w:tcPr>
            <w:tcW w:w="1560" w:type="dxa"/>
            <w:vAlign w:val="bottom"/>
            <w:shd w:val="clear" w:color="auto" w:fill="F8F4F1"/>
          </w:tcPr>
          <w:p>
            <w:pPr>
              <w:spacing w:after="0"/>
              <w:rPr>
                <w:sz w:val="15"/>
                <w:szCs w:val="15"/>
                <w:color w:val="auto"/>
              </w:rPr>
            </w:pPr>
          </w:p>
        </w:tc>
        <w:tc>
          <w:tcPr>
            <w:tcW w:w="34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6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7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35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560" w:type="dxa"/>
            <w:vAlign w:val="bottom"/>
            <w:shd w:val="clear" w:color="auto" w:fill="F8F4F1"/>
          </w:tcPr>
          <w:p>
            <w:pPr>
              <w:spacing w:after="0"/>
              <w:rPr>
                <w:sz w:val="21"/>
                <w:szCs w:val="21"/>
                <w:color w:val="auto"/>
              </w:rPr>
            </w:pPr>
          </w:p>
        </w:tc>
        <w:tc>
          <w:tcPr>
            <w:tcW w:w="34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17, 2026</w:t>
            </w:r>
          </w:p>
        </w:tc>
        <w:tc>
          <w:tcPr>
            <w:tcW w:w="120" w:type="dxa"/>
            <w:vAlign w:val="bottom"/>
          </w:tcPr>
          <w:p>
            <w:pPr>
              <w:spacing w:after="0"/>
              <w:rPr>
                <w:sz w:val="21"/>
                <w:szCs w:val="21"/>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21"/>
                <w:szCs w:val="21"/>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shares granted, 25% will vest on February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 2027, 2028, 2029, and 2030, respectively.</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February 17, 2026</w:t>
            </w:r>
          </w:p>
        </w:tc>
        <w:tc>
          <w:tcPr>
            <w:tcW w:w="1660" w:type="dxa"/>
            <w:vAlign w:val="bottom"/>
            <w:gridSpan w:val="2"/>
            <w:shd w:val="clear" w:color="auto" w:fill="F8F4F1"/>
          </w:tcPr>
          <w:p>
            <w:pPr>
              <w:ind w:left="140"/>
              <w:spacing w:after="0" w:line="189" w:lineRule="exact"/>
              <w:rPr>
                <w:sz w:val="20"/>
                <w:szCs w:val="20"/>
                <w:color w:val="auto"/>
              </w:rPr>
            </w:pPr>
            <w:r>
              <w:rPr>
                <w:rFonts w:ascii="Times New Roman" w:cs="Times New Roman" w:eastAsia="Times New Roman" w:hAnsi="Times New Roman"/>
                <w:sz w:val="18"/>
                <w:szCs w:val="18"/>
                <w:color w:val="auto"/>
              </w:rPr>
              <w:t>2026-2028</w:t>
            </w:r>
          </w:p>
        </w:tc>
        <w:tc>
          <w:tcPr>
            <w:tcW w:w="100" w:type="dxa"/>
            <w:vAlign w:val="bottom"/>
            <w:shd w:val="clear" w:color="auto" w:fill="F8F4F1"/>
          </w:tcPr>
          <w:p>
            <w:pPr>
              <w:spacing w:after="0"/>
              <w:rPr>
                <w:sz w:val="16"/>
                <w:szCs w:val="16"/>
                <w:color w:val="auto"/>
              </w:rPr>
            </w:pPr>
          </w:p>
        </w:tc>
        <w:tc>
          <w:tcPr>
            <w:tcW w:w="1160" w:type="dxa"/>
            <w:vAlign w:val="bottom"/>
            <w:gridSpan w:val="2"/>
            <w:shd w:val="clear" w:color="auto" w:fill="F8F4F1"/>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F8F4F1"/>
          </w:tcPr>
          <w:p>
            <w:pPr>
              <w:spacing w:after="0"/>
              <w:rPr>
                <w:sz w:val="16"/>
                <w:szCs w:val="16"/>
                <w:color w:val="auto"/>
              </w:rPr>
            </w:pPr>
          </w:p>
        </w:tc>
        <w:tc>
          <w:tcPr>
            <w:tcW w:w="3700" w:type="dxa"/>
            <w:vAlign w:val="bottom"/>
            <w:gridSpan w:val="2"/>
            <w:shd w:val="clear" w:color="auto" w:fill="F8F4F1"/>
          </w:tcPr>
          <w:p>
            <w:pPr>
              <w:ind w:left="20"/>
              <w:spacing w:after="0" w:line="189" w:lineRule="exact"/>
              <w:rPr>
                <w:sz w:val="20"/>
                <w:szCs w:val="20"/>
                <w:color w:val="auto"/>
              </w:rPr>
            </w:pPr>
            <w:r>
              <w:rPr>
                <w:rFonts w:ascii="Times New Roman" w:cs="Times New Roman" w:eastAsia="Times New Roman" w:hAnsi="Times New Roman"/>
                <w:sz w:val="18"/>
                <w:szCs w:val="18"/>
                <w:color w:val="auto"/>
              </w:rPr>
              <w:t>Shares awarded, if any, will vest immediately</w:t>
            </w:r>
          </w:p>
        </w:tc>
        <w:tc>
          <w:tcPr>
            <w:tcW w:w="1560" w:type="dxa"/>
            <w:vAlign w:val="bottom"/>
            <w:shd w:val="clear" w:color="auto" w:fill="F8F4F1"/>
          </w:tcPr>
          <w:p>
            <w:pPr>
              <w:jc w:val="right"/>
              <w:spacing w:after="0" w:line="189" w:lineRule="exact"/>
              <w:rPr>
                <w:sz w:val="20"/>
                <w:szCs w:val="20"/>
                <w:color w:val="auto"/>
              </w:rPr>
            </w:pPr>
            <w:r>
              <w:rPr>
                <w:rFonts w:ascii="Times New Roman" w:cs="Times New Roman" w:eastAsia="Times New Roman" w:hAnsi="Times New Roman"/>
                <w:sz w:val="18"/>
                <w:szCs w:val="18"/>
                <w:color w:val="auto"/>
              </w:rPr>
              <w:t>610,159</w:t>
            </w:r>
          </w:p>
        </w:tc>
        <w:tc>
          <w:tcPr>
            <w:tcW w:w="340" w:type="dxa"/>
            <w:vAlign w:val="bottom"/>
            <w:shd w:val="clear" w:color="auto" w:fill="F8F4F1"/>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175"/>
        </w:trPr>
        <w:tc>
          <w:tcPr>
            <w:tcW w:w="170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1640" w:type="dxa"/>
            <w:vAlign w:val="bottom"/>
            <w:gridSpan w:val="2"/>
            <w:shd w:val="clear" w:color="auto" w:fill="F8F4F1"/>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Share</w:t>
            </w:r>
          </w:p>
        </w:tc>
        <w:tc>
          <w:tcPr>
            <w:tcW w:w="104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780" w:type="dxa"/>
            <w:vAlign w:val="bottom"/>
            <w:shd w:val="clear" w:color="auto" w:fill="F8F4F1"/>
          </w:tcPr>
          <w:p>
            <w:pPr>
              <w:spacing w:after="0"/>
              <w:rPr>
                <w:sz w:val="15"/>
                <w:szCs w:val="15"/>
                <w:color w:val="auto"/>
              </w:rPr>
            </w:pPr>
          </w:p>
        </w:tc>
        <w:tc>
          <w:tcPr>
            <w:tcW w:w="120" w:type="dxa"/>
            <w:vAlign w:val="bottom"/>
            <w:shd w:val="clear" w:color="auto" w:fill="F8F4F1"/>
          </w:tcPr>
          <w:p>
            <w:pPr>
              <w:spacing w:after="0"/>
              <w:rPr>
                <w:sz w:val="15"/>
                <w:szCs w:val="15"/>
                <w:color w:val="auto"/>
              </w:rPr>
            </w:pPr>
          </w:p>
        </w:tc>
        <w:tc>
          <w:tcPr>
            <w:tcW w:w="3700" w:type="dxa"/>
            <w:vAlign w:val="bottom"/>
            <w:gridSpan w:val="2"/>
            <w:shd w:val="clear" w:color="auto" w:fill="F8F4F1"/>
          </w:tcPr>
          <w:p>
            <w:pPr>
              <w:ind w:left="20"/>
              <w:spacing w:after="0" w:line="176" w:lineRule="exact"/>
              <w:rPr>
                <w:sz w:val="20"/>
                <w:szCs w:val="20"/>
                <w:color w:val="auto"/>
              </w:rPr>
            </w:pPr>
            <w:r>
              <w:rPr>
                <w:rFonts w:ascii="Times New Roman" w:cs="Times New Roman" w:eastAsia="Times New Roman" w:hAnsi="Times New Roman"/>
                <w:sz w:val="18"/>
                <w:szCs w:val="18"/>
                <w:color w:val="auto"/>
              </w:rPr>
              <w:t>upon determination of award in 2029.</w:t>
            </w:r>
          </w:p>
        </w:tc>
        <w:tc>
          <w:tcPr>
            <w:tcW w:w="1560" w:type="dxa"/>
            <w:vAlign w:val="bottom"/>
            <w:shd w:val="clear" w:color="auto" w:fill="F8F4F1"/>
          </w:tcPr>
          <w:p>
            <w:pPr>
              <w:spacing w:after="0"/>
              <w:rPr>
                <w:sz w:val="15"/>
                <w:szCs w:val="15"/>
                <w:color w:val="auto"/>
              </w:rPr>
            </w:pPr>
          </w:p>
        </w:tc>
        <w:tc>
          <w:tcPr>
            <w:tcW w:w="340" w:type="dxa"/>
            <w:vAlign w:val="bottom"/>
            <w:shd w:val="clear" w:color="auto" w:fill="F8F4F1"/>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F8F4F1"/>
          </w:tcPr>
          <w:p>
            <w:pPr>
              <w:spacing w:after="0"/>
              <w:rPr>
                <w:sz w:val="20"/>
                <w:szCs w:val="20"/>
                <w:color w:val="auto"/>
              </w:rPr>
            </w:pPr>
          </w:p>
        </w:tc>
        <w:tc>
          <w:tcPr>
            <w:tcW w:w="120" w:type="dxa"/>
            <w:vAlign w:val="bottom"/>
            <w:shd w:val="clear" w:color="auto" w:fill="F8F4F1"/>
          </w:tcPr>
          <w:p>
            <w:pPr>
              <w:spacing w:after="0"/>
              <w:rPr>
                <w:sz w:val="20"/>
                <w:szCs w:val="20"/>
                <w:color w:val="auto"/>
              </w:rPr>
            </w:pPr>
          </w:p>
        </w:tc>
        <w:tc>
          <w:tcPr>
            <w:tcW w:w="16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040" w:type="dxa"/>
            <w:vAlign w:val="bottom"/>
            <w:shd w:val="clear" w:color="auto" w:fill="F8F4F1"/>
          </w:tcPr>
          <w:p>
            <w:pPr>
              <w:spacing w:after="0"/>
              <w:rPr>
                <w:sz w:val="20"/>
                <w:szCs w:val="20"/>
                <w:color w:val="auto"/>
              </w:rPr>
            </w:pPr>
          </w:p>
        </w:tc>
        <w:tc>
          <w:tcPr>
            <w:tcW w:w="120" w:type="dxa"/>
            <w:vAlign w:val="bottom"/>
            <w:shd w:val="clear" w:color="auto" w:fill="F8F4F1"/>
          </w:tcPr>
          <w:p>
            <w:pPr>
              <w:spacing w:after="0"/>
              <w:rPr>
                <w:sz w:val="20"/>
                <w:szCs w:val="20"/>
                <w:color w:val="auto"/>
              </w:rPr>
            </w:pPr>
          </w:p>
        </w:tc>
        <w:tc>
          <w:tcPr>
            <w:tcW w:w="120" w:type="dxa"/>
            <w:vAlign w:val="bottom"/>
            <w:shd w:val="clear" w:color="auto" w:fill="F8F4F1"/>
          </w:tcPr>
          <w:p>
            <w:pPr>
              <w:spacing w:after="0"/>
              <w:rPr>
                <w:sz w:val="20"/>
                <w:szCs w:val="20"/>
                <w:color w:val="auto"/>
              </w:rPr>
            </w:pPr>
          </w:p>
        </w:tc>
        <w:tc>
          <w:tcPr>
            <w:tcW w:w="780" w:type="dxa"/>
            <w:vAlign w:val="bottom"/>
            <w:shd w:val="clear" w:color="auto" w:fill="F8F4F1"/>
          </w:tcPr>
          <w:p>
            <w:pPr>
              <w:spacing w:after="0"/>
              <w:rPr>
                <w:sz w:val="20"/>
                <w:szCs w:val="20"/>
                <w:color w:val="auto"/>
              </w:rPr>
            </w:pPr>
          </w:p>
        </w:tc>
        <w:tc>
          <w:tcPr>
            <w:tcW w:w="120" w:type="dxa"/>
            <w:vAlign w:val="bottom"/>
            <w:shd w:val="clear" w:color="auto" w:fill="F8F4F1"/>
          </w:tcPr>
          <w:p>
            <w:pPr>
              <w:spacing w:after="0"/>
              <w:rPr>
                <w:sz w:val="20"/>
                <w:szCs w:val="20"/>
                <w:color w:val="auto"/>
              </w:rPr>
            </w:pPr>
          </w:p>
        </w:tc>
        <w:tc>
          <w:tcPr>
            <w:tcW w:w="3580" w:type="dxa"/>
            <w:vAlign w:val="bottom"/>
            <w:shd w:val="clear" w:color="auto" w:fill="F8F4F1"/>
          </w:tcPr>
          <w:p>
            <w:pPr>
              <w:spacing w:after="0"/>
              <w:rPr>
                <w:sz w:val="20"/>
                <w:szCs w:val="20"/>
                <w:color w:val="auto"/>
              </w:rPr>
            </w:pPr>
          </w:p>
        </w:tc>
        <w:tc>
          <w:tcPr>
            <w:tcW w:w="120" w:type="dxa"/>
            <w:vAlign w:val="bottom"/>
            <w:shd w:val="clear" w:color="auto" w:fill="F8F4F1"/>
          </w:tcPr>
          <w:p>
            <w:pPr>
              <w:spacing w:after="0"/>
              <w:rPr>
                <w:sz w:val="20"/>
                <w:szCs w:val="20"/>
                <w:color w:val="auto"/>
              </w:rPr>
            </w:pPr>
          </w:p>
        </w:tc>
        <w:tc>
          <w:tcPr>
            <w:tcW w:w="1560" w:type="dxa"/>
            <w:vAlign w:val="bottom"/>
            <w:shd w:val="clear" w:color="auto" w:fill="F8F4F1"/>
          </w:tcPr>
          <w:p>
            <w:pPr>
              <w:spacing w:after="0"/>
              <w:rPr>
                <w:sz w:val="20"/>
                <w:szCs w:val="20"/>
                <w:color w:val="auto"/>
              </w:rPr>
            </w:pPr>
          </w:p>
        </w:tc>
        <w:tc>
          <w:tcPr>
            <w:tcW w:w="340" w:type="dxa"/>
            <w:vAlign w:val="bottom"/>
            <w:shd w:val="clear" w:color="auto" w:fill="F8F4F1"/>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700" w:type="dxa"/>
            <w:vAlign w:val="bottom"/>
            <w:shd w:val="clear" w:color="auto" w:fill="F8F4F1"/>
          </w:tcPr>
          <w:p>
            <w:pPr>
              <w:spacing w:after="0"/>
              <w:rPr>
                <w:sz w:val="5"/>
                <w:szCs w:val="5"/>
                <w:color w:val="auto"/>
              </w:rPr>
            </w:pPr>
          </w:p>
        </w:tc>
        <w:tc>
          <w:tcPr>
            <w:tcW w:w="120" w:type="dxa"/>
            <w:vAlign w:val="bottom"/>
            <w:shd w:val="clear" w:color="auto" w:fill="F8F4F1"/>
          </w:tcPr>
          <w:p>
            <w:pPr>
              <w:spacing w:after="0"/>
              <w:rPr>
                <w:sz w:val="5"/>
                <w:szCs w:val="5"/>
                <w:color w:val="auto"/>
              </w:rPr>
            </w:pPr>
          </w:p>
        </w:tc>
        <w:tc>
          <w:tcPr>
            <w:tcW w:w="1540" w:type="dxa"/>
            <w:vAlign w:val="bottom"/>
            <w:shd w:val="clear" w:color="auto" w:fill="F8F4F1"/>
          </w:tcPr>
          <w:p>
            <w:pPr>
              <w:spacing w:after="0"/>
              <w:rPr>
                <w:sz w:val="5"/>
                <w:szCs w:val="5"/>
                <w:color w:val="auto"/>
              </w:rPr>
            </w:pPr>
          </w:p>
        </w:tc>
        <w:tc>
          <w:tcPr>
            <w:tcW w:w="100" w:type="dxa"/>
            <w:vAlign w:val="bottom"/>
            <w:shd w:val="clear" w:color="auto" w:fill="F8F4F1"/>
          </w:tcPr>
          <w:p>
            <w:pPr>
              <w:spacing w:after="0"/>
              <w:rPr>
                <w:sz w:val="5"/>
                <w:szCs w:val="5"/>
                <w:color w:val="auto"/>
              </w:rPr>
            </w:pPr>
          </w:p>
        </w:tc>
        <w:tc>
          <w:tcPr>
            <w:tcW w:w="1040" w:type="dxa"/>
            <w:vAlign w:val="bottom"/>
            <w:shd w:val="clear" w:color="auto" w:fill="F8F4F1"/>
          </w:tcPr>
          <w:p>
            <w:pPr>
              <w:spacing w:after="0"/>
              <w:rPr>
                <w:sz w:val="5"/>
                <w:szCs w:val="5"/>
                <w:color w:val="auto"/>
              </w:rPr>
            </w:pPr>
          </w:p>
        </w:tc>
        <w:tc>
          <w:tcPr>
            <w:tcW w:w="120" w:type="dxa"/>
            <w:vAlign w:val="bottom"/>
            <w:shd w:val="clear" w:color="auto" w:fill="F8F4F1"/>
          </w:tcPr>
          <w:p>
            <w:pPr>
              <w:spacing w:after="0"/>
              <w:rPr>
                <w:sz w:val="5"/>
                <w:szCs w:val="5"/>
                <w:color w:val="auto"/>
              </w:rPr>
            </w:pPr>
          </w:p>
        </w:tc>
        <w:tc>
          <w:tcPr>
            <w:tcW w:w="120" w:type="dxa"/>
            <w:vAlign w:val="bottom"/>
            <w:shd w:val="clear" w:color="auto" w:fill="F8F4F1"/>
          </w:tcPr>
          <w:p>
            <w:pPr>
              <w:spacing w:after="0"/>
              <w:rPr>
                <w:sz w:val="5"/>
                <w:szCs w:val="5"/>
                <w:color w:val="auto"/>
              </w:rPr>
            </w:pPr>
          </w:p>
        </w:tc>
        <w:tc>
          <w:tcPr>
            <w:tcW w:w="780" w:type="dxa"/>
            <w:vAlign w:val="bottom"/>
            <w:shd w:val="clear" w:color="auto" w:fill="F8F4F1"/>
          </w:tcPr>
          <w:p>
            <w:pPr>
              <w:spacing w:after="0"/>
              <w:rPr>
                <w:sz w:val="5"/>
                <w:szCs w:val="5"/>
                <w:color w:val="auto"/>
              </w:rPr>
            </w:pPr>
          </w:p>
        </w:tc>
        <w:tc>
          <w:tcPr>
            <w:tcW w:w="120" w:type="dxa"/>
            <w:vAlign w:val="bottom"/>
            <w:shd w:val="clear" w:color="auto" w:fill="F8F4F1"/>
          </w:tcPr>
          <w:p>
            <w:pPr>
              <w:spacing w:after="0"/>
              <w:rPr>
                <w:sz w:val="5"/>
                <w:szCs w:val="5"/>
                <w:color w:val="auto"/>
              </w:rPr>
            </w:pPr>
          </w:p>
        </w:tc>
        <w:tc>
          <w:tcPr>
            <w:tcW w:w="3580" w:type="dxa"/>
            <w:vAlign w:val="bottom"/>
            <w:shd w:val="clear" w:color="auto" w:fill="F8F4F1"/>
          </w:tcPr>
          <w:p>
            <w:pPr>
              <w:spacing w:after="0"/>
              <w:rPr>
                <w:sz w:val="5"/>
                <w:szCs w:val="5"/>
                <w:color w:val="auto"/>
              </w:rPr>
            </w:pPr>
          </w:p>
        </w:tc>
        <w:tc>
          <w:tcPr>
            <w:tcW w:w="120" w:type="dxa"/>
            <w:vAlign w:val="bottom"/>
            <w:shd w:val="clear" w:color="auto" w:fill="F8F4F1"/>
          </w:tcPr>
          <w:p>
            <w:pPr>
              <w:spacing w:after="0"/>
              <w:rPr>
                <w:sz w:val="5"/>
                <w:szCs w:val="5"/>
                <w:color w:val="auto"/>
              </w:rPr>
            </w:pPr>
          </w:p>
        </w:tc>
        <w:tc>
          <w:tcPr>
            <w:tcW w:w="1560" w:type="dxa"/>
            <w:vAlign w:val="bottom"/>
            <w:shd w:val="clear" w:color="auto" w:fill="F8F4F1"/>
          </w:tcPr>
          <w:p>
            <w:pPr>
              <w:spacing w:after="0"/>
              <w:rPr>
                <w:sz w:val="5"/>
                <w:szCs w:val="5"/>
                <w:color w:val="auto"/>
              </w:rPr>
            </w:pPr>
          </w:p>
        </w:tc>
        <w:tc>
          <w:tcPr>
            <w:tcW w:w="340" w:type="dxa"/>
            <w:vAlign w:val="bottom"/>
            <w:shd w:val="clear" w:color="auto" w:fill="F8F4F1"/>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tbl>
      <w:tblPr>
        <w:tblLayout w:type="fixed"/>
        <w:tblInd w:w="20" w:type="dxa"/>
        <w:tblCellMar>
          <w:top w:w="0" w:type="dxa"/>
          <w:left w:w="0" w:type="dxa"/>
          <w:bottom w:w="0" w:type="dxa"/>
          <w:right w:w="0" w:type="dxa"/>
        </w:tblCellMar>
      </w:tblP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May 12, 2026</w:t>
            </w:r>
          </w:p>
        </w:tc>
        <w:tc>
          <w:tcPr>
            <w:tcW w:w="198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Deferred Stock</w:t>
            </w:r>
          </w:p>
        </w:tc>
        <w:tc>
          <w:tcPr>
            <w:tcW w:w="11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103,064</w:t>
            </w:r>
          </w:p>
        </w:tc>
        <w:tc>
          <w:tcPr>
            <w:tcW w:w="4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8.15  Of the shares granted, 100% will vest on the</w:t>
            </w:r>
          </w:p>
        </w:tc>
      </w:tr>
      <w:tr>
        <w:trPr>
          <w:trHeight w:val="175"/>
        </w:trPr>
        <w:tc>
          <w:tcPr>
            <w:tcW w:w="1420" w:type="dxa"/>
            <w:vAlign w:val="bottom"/>
          </w:tcPr>
          <w:p>
            <w:pPr>
              <w:spacing w:after="0"/>
              <w:rPr>
                <w:sz w:val="15"/>
                <w:szCs w:val="15"/>
                <w:color w:val="auto"/>
              </w:rPr>
            </w:pPr>
          </w:p>
        </w:tc>
        <w:tc>
          <w:tcPr>
            <w:tcW w:w="198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Award-Board of</w:t>
            </w: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10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w w:val="99"/>
              </w:rPr>
              <w:t>earlier of the 2027 Annual Meeting or May 12,</w:t>
            </w:r>
          </w:p>
        </w:tc>
      </w:tr>
      <w:tr>
        <w:trPr>
          <w:trHeight w:val="234"/>
        </w:trPr>
        <w:tc>
          <w:tcPr>
            <w:tcW w:w="1420" w:type="dxa"/>
            <w:vAlign w:val="bottom"/>
          </w:tcPr>
          <w:p>
            <w:pPr>
              <w:spacing w:after="0"/>
              <w:rPr>
                <w:sz w:val="20"/>
                <w:szCs w:val="20"/>
                <w:color w:val="auto"/>
              </w:rPr>
            </w:pPr>
          </w:p>
        </w:tc>
        <w:tc>
          <w:tcPr>
            <w:tcW w:w="1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right"/>
        <w:ind w:right="400"/>
        <w:spacing w:after="0"/>
        <w:rPr>
          <w:sz w:val="20"/>
          <w:szCs w:val="20"/>
          <w:color w:val="auto"/>
        </w:rPr>
      </w:pPr>
      <w:r>
        <w:rPr>
          <w:rFonts w:ascii="Times New Roman" w:cs="Times New Roman" w:eastAsia="Times New Roman" w:hAnsi="Times New Roman"/>
          <w:sz w:val="18"/>
          <w:szCs w:val="18"/>
          <w:color w:val="auto"/>
        </w:rPr>
        <w:t>103,064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4,224,648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43180</wp:posOffset>
            </wp:positionV>
            <wp:extent cx="986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400" w:space="720"/>
            <w:col w:w="1120"/>
          </w:cols>
          <w:pgMar w:left="320" w:top="118" w:right="339" w:bottom="1440" w:gutter="0" w:footer="0" w:header="0"/>
          <w:type w:val="continuous"/>
        </w:sectPr>
      </w:pPr>
    </w:p>
    <w:p>
      <w:pPr>
        <w:spacing w:after="0" w:line="219" w:lineRule="exact"/>
        <w:rPr>
          <w:sz w:val="20"/>
          <w:szCs w:val="20"/>
          <w:color w:val="auto"/>
        </w:rPr>
      </w:pPr>
    </w:p>
    <w:p>
      <w:pPr>
        <w:ind w:left="660" w:right="20" w:hanging="652"/>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reflect the total original grant to employees and independent directors, net of shares surrendered upon vesting to satisfy required minimum tax withholding obligations through September 30, 2026.</w:t>
      </w:r>
    </w:p>
    <w:p>
      <w:pPr>
        <w:spacing w:after="0" w:line="34" w:lineRule="exact"/>
        <w:rPr>
          <w:rFonts w:ascii="Times New Roman" w:cs="Times New Roman" w:eastAsia="Times New Roman" w:hAnsi="Times New Roman"/>
          <w:sz w:val="21"/>
          <w:szCs w:val="21"/>
          <w:color w:val="auto"/>
          <w:vertAlign w:val="superscript"/>
        </w:rPr>
      </w:pPr>
    </w:p>
    <w:p>
      <w:pPr>
        <w:ind w:left="660" w:hanging="652"/>
        <w:spacing w:after="0" w:line="225"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based on Piedmont's cumulative TSR for the respective performance period through September 30, 2026. Share estimates are subject to change in future periods based upon Piedmont's relative TSR performance compared to its peer group of office REITs.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and 2025, Piedmont recognized approximately $2.5 million and $2.6 million, respectively, of compensation expense related to the amortization of unvested and potential stock awards. During each of the nine months ended September 30, 2026 and 2025, Piedmont recognized approximately $7.2 million of compensation expense related to the amortization of unvested and potential stock awards. During the nine months ended September 30, 2026, 613,547 shares (net of shares surrendered upon vesting to satisfy required minimum tax withholding obligations) were issued to employees and independent directors. As of September 30, 2026, approximately $16.4 million of unrecognized compensation cost related to unvested and potential stock awards remained, which Piedmont will record in its consolidated statements of operations over a weighted-average vesting period of approximately one year.</w:t>
      </w:r>
    </w:p>
    <w:p>
      <w:pPr>
        <w:spacing w:after="0" w:line="212"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for the Statement of Consolidated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non-cash investing and financing activities for the nine months ended September 30, 2026 and 2025 (in thousands) are outlined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4"/>
        </w:trPr>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right"/>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73"/>
        </w:trPr>
        <w:tc>
          <w:tcPr>
            <w:tcW w:w="8680" w:type="dxa"/>
            <w:vAlign w:val="bottom"/>
            <w:tcBorders>
              <w:bottom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Tenant improvements funded by tenants</w:t>
            </w:r>
          </w:p>
        </w:tc>
        <w:tc>
          <w:tcPr>
            <w:tcW w:w="1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17,171</w:t>
            </w:r>
          </w:p>
        </w:tc>
        <w:tc>
          <w:tcPr>
            <w:tcW w:w="100" w:type="dxa"/>
            <w:vAlign w:val="bottom"/>
            <w:tcBorders>
              <w:bottom w:val="single" w:sz="8" w:color="F8F4F1"/>
            </w:tcBorders>
            <w:shd w:val="clear" w:color="auto" w:fill="F8F4F1"/>
          </w:tcPr>
          <w:p>
            <w:pPr>
              <w:spacing w:after="0"/>
              <w:rPr>
                <w:sz w:val="23"/>
                <w:szCs w:val="23"/>
                <w:color w:val="auto"/>
              </w:rPr>
            </w:pPr>
          </w:p>
        </w:tc>
        <w:tc>
          <w:tcPr>
            <w:tcW w:w="1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18,552</w:t>
            </w:r>
          </w:p>
        </w:tc>
      </w:tr>
      <w:tr>
        <w:trPr>
          <w:trHeight w:val="20"/>
        </w:trPr>
        <w:tc>
          <w:tcPr>
            <w:tcW w:w="8680" w:type="dxa"/>
            <w:vAlign w:val="bottom"/>
            <w:tcBorders>
              <w:top w:val="single" w:sz="8" w:color="F8F4F1"/>
            </w:tcBorders>
          </w:tcPr>
          <w:p>
            <w:pPr>
              <w:spacing w:after="0" w:line="20" w:lineRule="exact"/>
              <w:rPr>
                <w:sz w:val="1"/>
                <w:szCs w:val="1"/>
                <w:color w:val="auto"/>
              </w:rPr>
            </w:pPr>
          </w:p>
        </w:tc>
        <w:tc>
          <w:tcPr>
            <w:tcW w:w="120" w:type="dxa"/>
            <w:vAlign w:val="bottom"/>
            <w:tcBorders>
              <w:top w:val="single" w:sz="8" w:color="F8F4F1"/>
              <w:bottom w:val="single" w:sz="8" w:color="auto"/>
            </w:tcBorders>
          </w:tcPr>
          <w:p>
            <w:pPr>
              <w:spacing w:after="0" w:line="20" w:lineRule="exact"/>
              <w:rPr>
                <w:sz w:val="1"/>
                <w:szCs w:val="1"/>
                <w:color w:val="auto"/>
              </w:rPr>
            </w:pPr>
          </w:p>
        </w:tc>
        <w:tc>
          <w:tcPr>
            <w:tcW w:w="1080" w:type="dxa"/>
            <w:vAlign w:val="bottom"/>
            <w:tcBorders>
              <w:top w:val="single" w:sz="8" w:color="F8F4F1"/>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160" w:type="dxa"/>
            <w:vAlign w:val="bottom"/>
            <w:tcBorders>
              <w:top w:val="single" w:sz="8" w:color="F8F4F1"/>
              <w:bottom w:val="single" w:sz="8" w:color="auto"/>
            </w:tcBorders>
          </w:tcPr>
          <w:p>
            <w:pPr>
              <w:spacing w:after="0" w:line="20" w:lineRule="exact"/>
              <w:rPr>
                <w:sz w:val="1"/>
                <w:szCs w:val="1"/>
                <w:color w:val="auto"/>
              </w:rPr>
            </w:pPr>
          </w:p>
        </w:tc>
        <w:tc>
          <w:tcPr>
            <w:tcW w:w="1100" w:type="dxa"/>
            <w:vAlign w:val="bottom"/>
            <w:tcBorders>
              <w:top w:val="single" w:sz="8" w:color="F8F4F1"/>
              <w:bottom w:val="single" w:sz="8" w:color="auto"/>
            </w:tcBorders>
          </w:tcPr>
          <w:p>
            <w:pPr>
              <w:spacing w:after="0" w:line="20" w:lineRule="exact"/>
              <w:rPr>
                <w:sz w:val="1"/>
                <w:szCs w:val="1"/>
                <w:color w:val="auto"/>
              </w:rPr>
            </w:pPr>
          </w:p>
        </w:tc>
      </w:tr>
      <w:tr>
        <w:trPr>
          <w:trHeight w:val="217"/>
        </w:trPr>
        <w:tc>
          <w:tcPr>
            <w:tcW w:w="86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Changes in accrued capital expenditures and deferred lease costs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28,790</w:t>
            </w:r>
          </w:p>
        </w:tc>
      </w:tr>
      <w:tr>
        <w:trPr>
          <w:trHeight w:val="20"/>
        </w:trPr>
        <w:tc>
          <w:tcPr>
            <w:tcW w:w="8680" w:type="dxa"/>
            <w:vAlign w:val="bottom"/>
            <w:tcBorders>
              <w:bottom w:val="single" w:sz="8" w:color="F8F4F1"/>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8F4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68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Change in accrued dividends</w:t>
            </w: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(15,298)</w:t>
            </w:r>
          </w:p>
        </w:tc>
      </w:tr>
      <w:tr>
        <w:trPr>
          <w:trHeight w:val="20"/>
        </w:trPr>
        <w:tc>
          <w:tcPr>
            <w:tcW w:w="8680" w:type="dxa"/>
            <w:vAlign w:val="bottom"/>
            <w:tcBorders>
              <w:top w:val="single" w:sz="8" w:color="F8F4F1"/>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accrued deferred financing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bottom w:val="single" w:sz="8" w:color="F8F4F1"/>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8F4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68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Accrued stock issuance costs</w:t>
            </w: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680" w:type="dxa"/>
            <w:vAlign w:val="bottom"/>
            <w:tcBorders>
              <w:top w:val="single" w:sz="8" w:color="F8F4F1"/>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8F4F1"/>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660" w:right="20" w:hanging="652"/>
        <w:spacing w:after="0" w:line="225"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Accrued capital expenditures and deferred lease costs included in accounts payable, accrued expenses, and accrued capital expenditures as of September 30, 2026 and 2025 were approximately $37.0 million, and $32.9 million, respectively.</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and escrows as presented in the accompanying consolidated statements of cash flows for the nine months ended September 30, 2026 and 2025, to the consolidated balance sheets for the respective period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560" w:type="dxa"/>
            <w:vAlign w:val="bottom"/>
            <w:tcBorders>
              <w:bottom w:val="single" w:sz="8" w:color="F8F4F1"/>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F8F4F1"/>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80" w:type="dxa"/>
            <w:vAlign w:val="bottom"/>
            <w:shd w:val="clear" w:color="auto" w:fill="F8F4F1"/>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20" w:type="dxa"/>
            <w:vAlign w:val="bottom"/>
            <w:shd w:val="clear" w:color="auto" w:fill="F8F4F1"/>
          </w:tcPr>
          <w:p>
            <w:pPr>
              <w:spacing w:after="0"/>
              <w:rPr>
                <w:sz w:val="20"/>
                <w:szCs w:val="20"/>
                <w:color w:val="auto"/>
              </w:rPr>
            </w:pPr>
          </w:p>
        </w:tc>
        <w:tc>
          <w:tcPr>
            <w:tcW w:w="420" w:type="dxa"/>
            <w:vAlign w:val="bottom"/>
            <w:shd w:val="clear" w:color="auto" w:fill="F8F4F1"/>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109,637</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F8F4F1"/>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escrows, beginning of period</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120" w:type="dxa"/>
            <w:vAlign w:val="bottom"/>
            <w:tcBorders>
              <w:bottom w:val="single" w:sz="8" w:color="F8F4F1"/>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178"/>
        </w:trPr>
        <w:tc>
          <w:tcPr>
            <w:tcW w:w="7560" w:type="dxa"/>
            <w:vAlign w:val="bottom"/>
            <w:shd w:val="clear" w:color="auto" w:fill="F8F4F1"/>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and escrows as presented in the accompanying</w:t>
            </w:r>
          </w:p>
        </w:tc>
        <w:tc>
          <w:tcPr>
            <w:tcW w:w="1180" w:type="dxa"/>
            <w:vAlign w:val="bottom"/>
            <w:vMerge w:val="restart"/>
            <w:shd w:val="clear" w:color="auto" w:fill="F8F4F1"/>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3,791</w:t>
            </w:r>
          </w:p>
        </w:tc>
        <w:tc>
          <w:tcPr>
            <w:tcW w:w="120" w:type="dxa"/>
            <w:vAlign w:val="bottom"/>
            <w:shd w:val="clear" w:color="auto" w:fill="F8F4F1"/>
          </w:tcPr>
          <w:p>
            <w:pPr>
              <w:spacing w:after="0"/>
              <w:rPr>
                <w:sz w:val="15"/>
                <w:szCs w:val="15"/>
                <w:color w:val="auto"/>
              </w:rPr>
            </w:pPr>
          </w:p>
        </w:tc>
        <w:tc>
          <w:tcPr>
            <w:tcW w:w="420" w:type="dxa"/>
            <w:vAlign w:val="bottom"/>
            <w:vMerge w:val="restart"/>
            <w:shd w:val="clear" w:color="auto" w:fill="F8F4F1"/>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113,882</w:t>
            </w:r>
          </w:p>
        </w:tc>
        <w:tc>
          <w:tcPr>
            <w:tcW w:w="0" w:type="dxa"/>
            <w:vAlign w:val="bottom"/>
          </w:tcPr>
          <w:p>
            <w:pPr>
              <w:spacing w:after="0"/>
              <w:rPr>
                <w:sz w:val="1"/>
                <w:szCs w:val="1"/>
                <w:color w:val="auto"/>
              </w:rPr>
            </w:pPr>
          </w:p>
        </w:tc>
      </w:tr>
      <w:tr>
        <w:trPr>
          <w:trHeight w:val="227"/>
        </w:trPr>
        <w:tc>
          <w:tcPr>
            <w:tcW w:w="7560" w:type="dxa"/>
            <w:vAlign w:val="bottom"/>
            <w:tcBorders>
              <w:bottom w:val="single" w:sz="8" w:color="F8F4F1"/>
            </w:tcBorders>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consolidated statement of cash flows, beginning of period</w:t>
            </w:r>
          </w:p>
        </w:tc>
        <w:tc>
          <w:tcPr>
            <w:tcW w:w="1180" w:type="dxa"/>
            <w:vAlign w:val="bottom"/>
            <w:tcBorders>
              <w:bottom w:val="single" w:sz="8" w:color="auto"/>
            </w:tcBorders>
            <w:vMerge w:val="continue"/>
            <w:shd w:val="clear" w:color="auto" w:fill="F8F4F1"/>
          </w:tcPr>
          <w:p>
            <w:pPr>
              <w:spacing w:after="0"/>
              <w:rPr>
                <w:sz w:val="19"/>
                <w:szCs w:val="19"/>
                <w:color w:val="auto"/>
              </w:rPr>
            </w:pPr>
          </w:p>
        </w:tc>
        <w:tc>
          <w:tcPr>
            <w:tcW w:w="600" w:type="dxa"/>
            <w:vAlign w:val="bottom"/>
            <w:tcBorders>
              <w:bottom w:val="single" w:sz="8" w:color="auto"/>
            </w:tcBorders>
            <w:vMerge w:val="continue"/>
            <w:shd w:val="clear" w:color="auto" w:fill="F8F4F1"/>
          </w:tcPr>
          <w:p>
            <w:pPr>
              <w:spacing w:after="0"/>
              <w:rPr>
                <w:sz w:val="19"/>
                <w:szCs w:val="19"/>
                <w:color w:val="auto"/>
              </w:rPr>
            </w:pPr>
          </w:p>
        </w:tc>
        <w:tc>
          <w:tcPr>
            <w:tcW w:w="120" w:type="dxa"/>
            <w:vAlign w:val="bottom"/>
            <w:tcBorders>
              <w:bottom w:val="single" w:sz="8" w:color="F8F4F1"/>
            </w:tcBorders>
            <w:shd w:val="clear" w:color="auto" w:fill="F8F4F1"/>
          </w:tcPr>
          <w:p>
            <w:pPr>
              <w:spacing w:after="0"/>
              <w:rPr>
                <w:sz w:val="19"/>
                <w:szCs w:val="19"/>
                <w:color w:val="auto"/>
              </w:rPr>
            </w:pPr>
          </w:p>
        </w:tc>
        <w:tc>
          <w:tcPr>
            <w:tcW w:w="420" w:type="dxa"/>
            <w:vAlign w:val="bottom"/>
            <w:tcBorders>
              <w:bottom w:val="single" w:sz="8" w:color="auto"/>
            </w:tcBorders>
            <w:vMerge w:val="continue"/>
            <w:shd w:val="clear" w:color="auto" w:fill="F8F4F1"/>
          </w:tcPr>
          <w:p>
            <w:pPr>
              <w:spacing w:after="0"/>
              <w:rPr>
                <w:sz w:val="19"/>
                <w:szCs w:val="19"/>
                <w:color w:val="auto"/>
              </w:rPr>
            </w:pPr>
          </w:p>
        </w:tc>
        <w:tc>
          <w:tcPr>
            <w:tcW w:w="1360" w:type="dxa"/>
            <w:vAlign w:val="bottom"/>
            <w:tcBorders>
              <w:bottom w:val="single" w:sz="8" w:color="auto"/>
            </w:tcBorders>
            <w:vMerge w:val="continue"/>
            <w:shd w:val="clear" w:color="auto" w:fill="F8F4F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F8F4F1"/>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60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420" w:type="dxa"/>
            <w:vAlign w:val="bottom"/>
            <w:tcBorders>
              <w:top w:val="single" w:sz="8" w:color="F8F4F1"/>
              <w:bottom w:val="single" w:sz="8" w:color="auto"/>
            </w:tcBorders>
          </w:tcPr>
          <w:p>
            <w:pPr>
              <w:spacing w:after="0" w:line="20" w:lineRule="exact"/>
              <w:rPr>
                <w:sz w:val="1"/>
                <w:szCs w:val="1"/>
                <w:color w:val="auto"/>
              </w:rPr>
            </w:pPr>
          </w:p>
        </w:tc>
        <w:tc>
          <w:tcPr>
            <w:tcW w:w="13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5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80" w:type="dxa"/>
            <w:vAlign w:val="bottom"/>
            <w:shd w:val="clear" w:color="auto" w:fill="F8F4F1"/>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3,903</w:t>
            </w:r>
          </w:p>
        </w:tc>
        <w:tc>
          <w:tcPr>
            <w:tcW w:w="120" w:type="dxa"/>
            <w:vAlign w:val="bottom"/>
            <w:shd w:val="clear" w:color="auto" w:fill="F8F4F1"/>
          </w:tcPr>
          <w:p>
            <w:pPr>
              <w:spacing w:after="0"/>
              <w:rPr>
                <w:sz w:val="21"/>
                <w:szCs w:val="21"/>
                <w:color w:val="auto"/>
              </w:rPr>
            </w:pPr>
          </w:p>
        </w:tc>
        <w:tc>
          <w:tcPr>
            <w:tcW w:w="420" w:type="dxa"/>
            <w:vAlign w:val="bottom"/>
            <w:shd w:val="clear" w:color="auto" w:fill="F8F4F1"/>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F8F4F1"/>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escrows, end of period</w:t>
            </w: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120" w:type="dxa"/>
            <w:vAlign w:val="bottom"/>
            <w:tcBorders>
              <w:bottom w:val="single" w:sz="8" w:color="F8F4F1"/>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178"/>
        </w:trPr>
        <w:tc>
          <w:tcPr>
            <w:tcW w:w="7560" w:type="dxa"/>
            <w:vAlign w:val="bottom"/>
            <w:shd w:val="clear" w:color="auto" w:fill="F8F4F1"/>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cash, cash equivalents, and restricted cash and escrows as presented in the accompanying</w:t>
            </w:r>
          </w:p>
        </w:tc>
        <w:tc>
          <w:tcPr>
            <w:tcW w:w="1180" w:type="dxa"/>
            <w:vAlign w:val="bottom"/>
            <w:vMerge w:val="restart"/>
            <w:shd w:val="clear" w:color="auto" w:fill="F8F4F1"/>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6,480</w:t>
            </w:r>
          </w:p>
        </w:tc>
        <w:tc>
          <w:tcPr>
            <w:tcW w:w="120" w:type="dxa"/>
            <w:vAlign w:val="bottom"/>
            <w:shd w:val="clear" w:color="auto" w:fill="F8F4F1"/>
          </w:tcPr>
          <w:p>
            <w:pPr>
              <w:spacing w:after="0"/>
              <w:rPr>
                <w:sz w:val="15"/>
                <w:szCs w:val="15"/>
                <w:color w:val="auto"/>
              </w:rPr>
            </w:pPr>
          </w:p>
        </w:tc>
        <w:tc>
          <w:tcPr>
            <w:tcW w:w="420" w:type="dxa"/>
            <w:vAlign w:val="bottom"/>
            <w:vMerge w:val="restart"/>
            <w:shd w:val="clear" w:color="auto" w:fill="F8F4F1"/>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27"/>
        </w:trPr>
        <w:tc>
          <w:tcPr>
            <w:tcW w:w="7560" w:type="dxa"/>
            <w:vAlign w:val="bottom"/>
            <w:tcBorders>
              <w:bottom w:val="single" w:sz="8" w:color="F8F4F1"/>
            </w:tcBorders>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consolidated statement of cash flows, end of period</w:t>
            </w:r>
          </w:p>
        </w:tc>
        <w:tc>
          <w:tcPr>
            <w:tcW w:w="1180" w:type="dxa"/>
            <w:vAlign w:val="bottom"/>
            <w:tcBorders>
              <w:bottom w:val="single" w:sz="8" w:color="auto"/>
            </w:tcBorders>
            <w:vMerge w:val="continue"/>
            <w:shd w:val="clear" w:color="auto" w:fill="F8F4F1"/>
          </w:tcPr>
          <w:p>
            <w:pPr>
              <w:spacing w:after="0"/>
              <w:rPr>
                <w:sz w:val="19"/>
                <w:szCs w:val="19"/>
                <w:color w:val="auto"/>
              </w:rPr>
            </w:pPr>
          </w:p>
        </w:tc>
        <w:tc>
          <w:tcPr>
            <w:tcW w:w="600" w:type="dxa"/>
            <w:vAlign w:val="bottom"/>
            <w:tcBorders>
              <w:bottom w:val="single" w:sz="8" w:color="auto"/>
            </w:tcBorders>
            <w:vMerge w:val="continue"/>
            <w:shd w:val="clear" w:color="auto" w:fill="F8F4F1"/>
          </w:tcPr>
          <w:p>
            <w:pPr>
              <w:spacing w:after="0"/>
              <w:rPr>
                <w:sz w:val="19"/>
                <w:szCs w:val="19"/>
                <w:color w:val="auto"/>
              </w:rPr>
            </w:pPr>
          </w:p>
        </w:tc>
        <w:tc>
          <w:tcPr>
            <w:tcW w:w="120" w:type="dxa"/>
            <w:vAlign w:val="bottom"/>
            <w:tcBorders>
              <w:bottom w:val="single" w:sz="8" w:color="F8F4F1"/>
            </w:tcBorders>
            <w:shd w:val="clear" w:color="auto" w:fill="F8F4F1"/>
          </w:tcPr>
          <w:p>
            <w:pPr>
              <w:spacing w:after="0"/>
              <w:rPr>
                <w:sz w:val="19"/>
                <w:szCs w:val="19"/>
                <w:color w:val="auto"/>
              </w:rPr>
            </w:pPr>
          </w:p>
        </w:tc>
        <w:tc>
          <w:tcPr>
            <w:tcW w:w="420" w:type="dxa"/>
            <w:vAlign w:val="bottom"/>
            <w:tcBorders>
              <w:bottom w:val="single" w:sz="8" w:color="auto"/>
            </w:tcBorders>
            <w:vMerge w:val="continue"/>
            <w:shd w:val="clear" w:color="auto" w:fill="F8F4F1"/>
          </w:tcPr>
          <w:p>
            <w:pPr>
              <w:spacing w:after="0"/>
              <w:rPr>
                <w:sz w:val="19"/>
                <w:szCs w:val="19"/>
                <w:color w:val="auto"/>
              </w:rPr>
            </w:pPr>
          </w:p>
        </w:tc>
        <w:tc>
          <w:tcPr>
            <w:tcW w:w="1360" w:type="dxa"/>
            <w:vAlign w:val="bottom"/>
            <w:tcBorders>
              <w:bottom w:val="single" w:sz="8" w:color="auto"/>
            </w:tcBorders>
            <w:vMerge w:val="continue"/>
            <w:shd w:val="clear" w:color="auto" w:fill="F8F4F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F8F4F1"/>
            </w:tcBorders>
          </w:tcPr>
          <w:p>
            <w:pPr>
              <w:spacing w:after="0" w:line="20" w:lineRule="exact"/>
              <w:rPr>
                <w:sz w:val="1"/>
                <w:szCs w:val="1"/>
                <w:color w:val="auto"/>
              </w:rPr>
            </w:pPr>
          </w:p>
        </w:tc>
        <w:tc>
          <w:tcPr>
            <w:tcW w:w="1180" w:type="dxa"/>
            <w:vAlign w:val="bottom"/>
            <w:tcBorders>
              <w:top w:val="single" w:sz="8" w:color="F8F4F1"/>
              <w:bottom w:val="single" w:sz="8" w:color="auto"/>
            </w:tcBorders>
          </w:tcPr>
          <w:p>
            <w:pPr>
              <w:spacing w:after="0" w:line="20" w:lineRule="exact"/>
              <w:rPr>
                <w:sz w:val="1"/>
                <w:szCs w:val="1"/>
                <w:color w:val="auto"/>
              </w:rPr>
            </w:pPr>
          </w:p>
        </w:tc>
        <w:tc>
          <w:tcPr>
            <w:tcW w:w="60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420" w:type="dxa"/>
            <w:vAlign w:val="bottom"/>
            <w:tcBorders>
              <w:top w:val="single" w:sz="8" w:color="F8F4F1"/>
              <w:bottom w:val="single" w:sz="8" w:color="auto"/>
            </w:tcBorders>
          </w:tcPr>
          <w:p>
            <w:pPr>
              <w:spacing w:after="0" w:line="20" w:lineRule="exact"/>
              <w:rPr>
                <w:sz w:val="1"/>
                <w:szCs w:val="1"/>
                <w:color w:val="auto"/>
              </w:rPr>
            </w:pPr>
          </w:p>
        </w:tc>
        <w:tc>
          <w:tcPr>
            <w:tcW w:w="1360" w:type="dxa"/>
            <w:vAlign w:val="bottom"/>
            <w:tcBorders>
              <w:top w:val="single" w:sz="8" w:color="F8F4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in restricted cash and escrows typically represent: escrow accounts required for future property repairs; escrow accounts for the payment of real estate taxes as required under certain of Piedmont's debt agreements; earnest money deposited by a buyer to secure the purchase of one of Piedmont's properties; or security or utility deposits held for tenants as a condition of their lease agreement.</w:t>
      </w:r>
    </w:p>
    <w:p>
      <w:pPr>
        <w:spacing w:after="0" w:line="19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Piedmont has unvested deferred stock awards and outstanding exchangeable notes that could result in the issuance of common shares in future periods. Because Piedmont reported a net loss for all periods presented, the effects of these instruments were excluded from the calculation of diluted net loss per share as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Piedmont's President and Chief Executive Officer has been identified as Piedmont's chief operating decision maker (the "CODM"), as defined by GAAP. The CODM evaluates Piedmont's portfolio and assesses the ongoing operations and performance of its projects utilizing the following geographic segments: Atlanta, Dallas, Orlando, Northern Virginia/Washington, D.C., Minneapolis, New York, and Boston. These seven operating segments are also Piedmont’s reportable segments. As of September 30, 2026, Piedmont also owned two projects in Houston that do not meet the definition of an operating or reportable segment as the CODM does not regularly review these properties for purposes of allocating resources or assessing performance. Further, Piedmont does not maintain a significant presence nor anticipate further investment in this market. These two projects are the primary contributors to accrual-based net operating income ("NOI") included in "Other" below. During the periods presented, there have been no material inter-segment transactions. The accounting policies of the reportable segments are the same as Piedmont's accounting policies.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NOI by geographic segment is the primary performance measure reviewed by Piedmont's CODM to assess operating performance and consists only of revenues and expenses directly related to real estate rental operations. NOI is calculated by deducting property operating costs and adjusting for other segment items from lease revenues and other property related income. Other segment items consist primarily of allocated costs and salaries, which are recognized at the respective properties and eliminated in the preparation of consolidated financial statements. NOI reflects property acquisitions and dispositions, occupancy levels, rental rate increases or decreases, and the recoverability of operating expenses. Piedmont's calculation of NOI may not be directly comparable to similarly titled measures calculated by other REITs.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value information and capital expenditures by segment are not reported because the CODM does not use these measures to assess performance.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accrual-based revenues, expenses, and other segment items included in NOI by geographic reportable segment for the three months ended September 30, 2026 and 2025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Operating Costs</w:t>
            </w:r>
          </w:p>
        </w:tc>
        <w:tc>
          <w:tcPr>
            <w:tcW w:w="1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Items</w:t>
            </w:r>
          </w:p>
        </w:tc>
        <w:tc>
          <w:tcPr>
            <w:tcW w:w="400" w:type="dxa"/>
            <w:vAlign w:val="bottom"/>
          </w:tcPr>
          <w:p>
            <w:pPr>
              <w:spacing w:after="0"/>
              <w:rPr>
                <w:sz w:val="18"/>
                <w:szCs w:val="18"/>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NOI</w:t>
            </w:r>
          </w:p>
        </w:tc>
      </w:tr>
      <w:tr>
        <w:trPr>
          <w:trHeight w:val="23"/>
        </w:trPr>
        <w:tc>
          <w:tcPr>
            <w:tcW w:w="4240" w:type="dxa"/>
            <w:vAlign w:val="bottom"/>
            <w:tcBorders>
              <w:bottom w:val="single" w:sz="8" w:color="F8F4F1"/>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2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46,761</w:t>
            </w:r>
          </w:p>
        </w:tc>
        <w:tc>
          <w:tcPr>
            <w:tcW w:w="100" w:type="dxa"/>
            <w:vAlign w:val="bottom"/>
            <w:shd w:val="clear" w:color="auto" w:fill="F8F4F1"/>
          </w:tcPr>
          <w:p>
            <w:pPr>
              <w:spacing w:after="0"/>
              <w:rPr>
                <w:sz w:val="20"/>
                <w:szCs w:val="20"/>
                <w:color w:val="auto"/>
              </w:rPr>
            </w:pPr>
          </w:p>
        </w:tc>
        <w:tc>
          <w:tcPr>
            <w:tcW w:w="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16,438</w:t>
            </w:r>
          </w:p>
        </w:tc>
        <w:tc>
          <w:tcPr>
            <w:tcW w:w="100" w:type="dxa"/>
            <w:vAlign w:val="bottom"/>
            <w:shd w:val="clear" w:color="auto" w:fill="F8F4F1"/>
          </w:tcPr>
          <w:p>
            <w:pPr>
              <w:spacing w:after="0"/>
              <w:rPr>
                <w:sz w:val="20"/>
                <w:szCs w:val="20"/>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80" w:type="dxa"/>
            <w:vAlign w:val="bottom"/>
            <w:shd w:val="clear" w:color="auto" w:fill="F8F4F1"/>
          </w:tcPr>
          <w:p>
            <w:pPr>
              <w:spacing w:after="0"/>
              <w:rPr>
                <w:sz w:val="20"/>
                <w:szCs w:val="20"/>
                <w:color w:val="auto"/>
              </w:rPr>
            </w:pPr>
          </w:p>
        </w:tc>
        <w:tc>
          <w:tcPr>
            <w:tcW w:w="400" w:type="dxa"/>
            <w:vAlign w:val="bottom"/>
            <w:shd w:val="clear" w:color="auto" w:fill="F8F4F1"/>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30,842</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Dallas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16,333</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18,928</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7,069</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11,911</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Virginia/Washington, D.C.</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8,158</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16,280</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9,568</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Minneapolis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5,711</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40" w:type="dxa"/>
            <w:vAlign w:val="bottom"/>
            <w:tcBorders>
              <w:bottom w:val="single" w:sz="8" w:color="auto"/>
            </w:tcBorders>
            <w:shd w:val="clear" w:color="auto" w:fill="F8F4F1"/>
          </w:tcPr>
          <w:p>
            <w:pPr>
              <w:spacing w:after="0"/>
              <w:rPr>
                <w:sz w:val="21"/>
                <w:szCs w:val="21"/>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9,654</w:t>
            </w:r>
          </w:p>
        </w:tc>
        <w:tc>
          <w:tcPr>
            <w:tcW w:w="100" w:type="dxa"/>
            <w:vAlign w:val="bottom"/>
            <w:shd w:val="clear" w:color="auto" w:fill="F8F4F1"/>
          </w:tcPr>
          <w:p>
            <w:pPr>
              <w:spacing w:after="0"/>
              <w:rPr>
                <w:sz w:val="21"/>
                <w:szCs w:val="21"/>
                <w:color w:val="auto"/>
              </w:rPr>
            </w:pPr>
          </w:p>
        </w:tc>
        <w:tc>
          <w:tcPr>
            <w:tcW w:w="100" w:type="dxa"/>
            <w:vAlign w:val="bottom"/>
            <w:tcBorders>
              <w:bottom w:val="single" w:sz="8" w:color="auto"/>
            </w:tcBorders>
            <w:shd w:val="clear" w:color="auto" w:fill="F8F4F1"/>
          </w:tcPr>
          <w:p>
            <w:pPr>
              <w:spacing w:after="0"/>
              <w:rPr>
                <w:sz w:val="21"/>
                <w:szCs w:val="21"/>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3,420</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F8F4F1"/>
          </w:tcPr>
          <w:p>
            <w:pPr>
              <w:spacing w:after="0"/>
              <w:rPr>
                <w:sz w:val="21"/>
                <w:szCs w:val="21"/>
                <w:color w:val="auto"/>
              </w:rPr>
            </w:pPr>
          </w:p>
        </w:tc>
        <w:tc>
          <w:tcPr>
            <w:tcW w:w="4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6,246</w:t>
            </w:r>
          </w:p>
        </w:tc>
      </w:tr>
      <w:tr>
        <w:trPr>
          <w:trHeight w:val="237"/>
        </w:trPr>
        <w:tc>
          <w:tcPr>
            <w:tcW w:w="4240" w:type="dxa"/>
            <w:vAlign w:val="bottom"/>
            <w:tcBorders>
              <w:bottom w:val="single" w:sz="8" w:color="F8F4F1"/>
            </w:tcBorders>
          </w:tcPr>
          <w:p>
            <w:pPr>
              <w:ind w:left="18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146,224</w:t>
            </w:r>
          </w:p>
        </w:tc>
        <w:tc>
          <w:tcPr>
            <w:tcW w:w="100" w:type="dxa"/>
            <w:vAlign w:val="bottom"/>
            <w:tcBorders>
              <w:bottom w:val="single" w:sz="8" w:color="F8F4F1"/>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58,555</w:t>
            </w:r>
          </w:p>
        </w:tc>
        <w:tc>
          <w:tcPr>
            <w:tcW w:w="100" w:type="dxa"/>
            <w:vAlign w:val="bottom"/>
            <w:tcBorders>
              <w:bottom w:val="single" w:sz="8" w:color="F8F4F1"/>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80" w:type="dxa"/>
            <w:vAlign w:val="bottom"/>
            <w:tcBorders>
              <w:bottom w:val="single" w:sz="8" w:color="F8F4F1"/>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88,769</w:t>
            </w:r>
          </w:p>
        </w:tc>
      </w:tr>
      <w:tr>
        <w:trPr>
          <w:trHeight w:val="236"/>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F8F4F1"/>
          </w:tcPr>
          <w:p>
            <w:pPr>
              <w:spacing w:after="0"/>
              <w:rPr>
                <w:sz w:val="20"/>
                <w:szCs w:val="20"/>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5,012</w:t>
            </w:r>
          </w:p>
        </w:tc>
        <w:tc>
          <w:tcPr>
            <w:tcW w:w="100" w:type="dxa"/>
            <w:vAlign w:val="bottom"/>
            <w:shd w:val="clear" w:color="auto" w:fill="F8F4F1"/>
          </w:tcPr>
          <w:p>
            <w:pPr>
              <w:spacing w:after="0"/>
              <w:rPr>
                <w:sz w:val="20"/>
                <w:szCs w:val="20"/>
                <w:color w:val="auto"/>
              </w:rPr>
            </w:pPr>
          </w:p>
        </w:tc>
        <w:tc>
          <w:tcPr>
            <w:tcW w:w="100" w:type="dxa"/>
            <w:vAlign w:val="bottom"/>
            <w:tcBorders>
              <w:bottom w:val="single" w:sz="8" w:color="auto"/>
            </w:tcBorders>
            <w:shd w:val="clear" w:color="auto" w:fill="F8F4F1"/>
          </w:tcPr>
          <w:p>
            <w:pPr>
              <w:spacing w:after="0"/>
              <w:rPr>
                <w:sz w:val="20"/>
                <w:szCs w:val="20"/>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100" w:type="dxa"/>
            <w:vAlign w:val="bottom"/>
            <w:shd w:val="clear" w:color="auto" w:fill="F8F4F1"/>
          </w:tcPr>
          <w:p>
            <w:pPr>
              <w:spacing w:after="0"/>
              <w:rPr>
                <w:sz w:val="20"/>
                <w:szCs w:val="20"/>
                <w:color w:val="auto"/>
              </w:rPr>
            </w:pPr>
          </w:p>
        </w:tc>
        <w:tc>
          <w:tcPr>
            <w:tcW w:w="140" w:type="dxa"/>
            <w:vAlign w:val="bottom"/>
            <w:tcBorders>
              <w:bottom w:val="single" w:sz="8" w:color="auto"/>
            </w:tcBorders>
            <w:shd w:val="clear" w:color="auto" w:fill="F8F4F1"/>
          </w:tcPr>
          <w:p>
            <w:pPr>
              <w:spacing w:after="0"/>
              <w:rPr>
                <w:sz w:val="20"/>
                <w:szCs w:val="20"/>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(1,159)</w:t>
            </w:r>
          </w:p>
        </w:tc>
        <w:tc>
          <w:tcPr>
            <w:tcW w:w="8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2,379</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151,236</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60,029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91,148</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834"/>
        </w:trPr>
        <w:tc>
          <w:tcPr>
            <w:tcW w:w="102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Operating Costs</w:t>
            </w:r>
          </w:p>
        </w:tc>
        <w:tc>
          <w:tcPr>
            <w:tcW w:w="1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Items</w:t>
            </w:r>
          </w:p>
        </w:tc>
        <w:tc>
          <w:tcPr>
            <w:tcW w:w="400" w:type="dxa"/>
            <w:vAlign w:val="bottom"/>
          </w:tcPr>
          <w:p>
            <w:pPr>
              <w:spacing w:after="0"/>
              <w:rPr>
                <w:sz w:val="18"/>
                <w:szCs w:val="18"/>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NOI</w:t>
            </w:r>
          </w:p>
        </w:tc>
      </w:tr>
      <w:tr>
        <w:trPr>
          <w:trHeight w:val="23"/>
        </w:trPr>
        <w:tc>
          <w:tcPr>
            <w:tcW w:w="4240" w:type="dxa"/>
            <w:vAlign w:val="bottom"/>
            <w:tcBorders>
              <w:bottom w:val="single" w:sz="8" w:color="F8F4F1"/>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2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44,979</w:t>
            </w:r>
          </w:p>
        </w:tc>
        <w:tc>
          <w:tcPr>
            <w:tcW w:w="100" w:type="dxa"/>
            <w:vAlign w:val="bottom"/>
            <w:shd w:val="clear" w:color="auto" w:fill="F8F4F1"/>
          </w:tcPr>
          <w:p>
            <w:pPr>
              <w:spacing w:after="0"/>
              <w:rPr>
                <w:sz w:val="20"/>
                <w:szCs w:val="20"/>
                <w:color w:val="auto"/>
              </w:rPr>
            </w:pPr>
          </w:p>
        </w:tc>
        <w:tc>
          <w:tcPr>
            <w:tcW w:w="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100" w:type="dxa"/>
            <w:vAlign w:val="bottom"/>
            <w:shd w:val="clear" w:color="auto" w:fill="F8F4F1"/>
          </w:tcPr>
          <w:p>
            <w:pPr>
              <w:spacing w:after="0"/>
              <w:rPr>
                <w:sz w:val="20"/>
                <w:szCs w:val="20"/>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F8F4F1"/>
          </w:tcPr>
          <w:p>
            <w:pPr>
              <w:spacing w:after="0"/>
              <w:rPr>
                <w:sz w:val="20"/>
                <w:szCs w:val="20"/>
                <w:color w:val="auto"/>
              </w:rPr>
            </w:pPr>
          </w:p>
        </w:tc>
        <w:tc>
          <w:tcPr>
            <w:tcW w:w="400" w:type="dxa"/>
            <w:vAlign w:val="bottom"/>
            <w:shd w:val="clear" w:color="auto" w:fill="F8F4F1"/>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29,035</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Dallas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r>
      <w:tr>
        <w:trPr>
          <w:trHeight w:val="243"/>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15,831</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9,210</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Virginia/Washington, D.C.</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r>
      <w:tr>
        <w:trPr>
          <w:trHeight w:val="243"/>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7,825</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Minneapolis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43"/>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40" w:type="dxa"/>
            <w:vAlign w:val="bottom"/>
            <w:tcBorders>
              <w:bottom w:val="single" w:sz="8" w:color="auto"/>
            </w:tcBorders>
            <w:shd w:val="clear" w:color="auto" w:fill="F8F4F1"/>
          </w:tcPr>
          <w:p>
            <w:pPr>
              <w:spacing w:after="0"/>
              <w:rPr>
                <w:sz w:val="21"/>
                <w:szCs w:val="21"/>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F8F4F1"/>
          </w:tcPr>
          <w:p>
            <w:pPr>
              <w:spacing w:after="0"/>
              <w:rPr>
                <w:sz w:val="21"/>
                <w:szCs w:val="21"/>
                <w:color w:val="auto"/>
              </w:rPr>
            </w:pPr>
          </w:p>
        </w:tc>
        <w:tc>
          <w:tcPr>
            <w:tcW w:w="100" w:type="dxa"/>
            <w:vAlign w:val="bottom"/>
            <w:tcBorders>
              <w:bottom w:val="single" w:sz="8" w:color="auto"/>
            </w:tcBorders>
            <w:shd w:val="clear" w:color="auto" w:fill="F8F4F1"/>
          </w:tcPr>
          <w:p>
            <w:pPr>
              <w:spacing w:after="0"/>
              <w:rPr>
                <w:sz w:val="21"/>
                <w:szCs w:val="21"/>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F8F4F1"/>
          </w:tcPr>
          <w:p>
            <w:pPr>
              <w:spacing w:after="0"/>
              <w:rPr>
                <w:sz w:val="21"/>
                <w:szCs w:val="21"/>
                <w:color w:val="auto"/>
              </w:rPr>
            </w:pPr>
          </w:p>
        </w:tc>
        <w:tc>
          <w:tcPr>
            <w:tcW w:w="4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37"/>
        </w:trPr>
        <w:tc>
          <w:tcPr>
            <w:tcW w:w="4240" w:type="dxa"/>
            <w:vAlign w:val="bottom"/>
            <w:tcBorders>
              <w:bottom w:val="single" w:sz="8" w:color="F8F4F1"/>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134,057</w:t>
            </w:r>
          </w:p>
        </w:tc>
        <w:tc>
          <w:tcPr>
            <w:tcW w:w="100" w:type="dxa"/>
            <w:vAlign w:val="bottom"/>
            <w:tcBorders>
              <w:bottom w:val="single" w:sz="8" w:color="F8F4F1"/>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54,829</w:t>
            </w:r>
          </w:p>
        </w:tc>
        <w:tc>
          <w:tcPr>
            <w:tcW w:w="100" w:type="dxa"/>
            <w:vAlign w:val="bottom"/>
            <w:tcBorders>
              <w:bottom w:val="single" w:sz="8" w:color="F8F4F1"/>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Borders>
              <w:bottom w:val="single" w:sz="8" w:color="F8F4F1"/>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80,248</w:t>
            </w:r>
          </w:p>
        </w:tc>
      </w:tr>
      <w:tr>
        <w:trPr>
          <w:trHeight w:val="237"/>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F8F4F1"/>
          </w:tcPr>
          <w:p>
            <w:pPr>
              <w:spacing w:after="0"/>
              <w:rPr>
                <w:sz w:val="20"/>
                <w:szCs w:val="20"/>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F8F4F1"/>
          </w:tcPr>
          <w:p>
            <w:pPr>
              <w:spacing w:after="0"/>
              <w:rPr>
                <w:sz w:val="20"/>
                <w:szCs w:val="20"/>
                <w:color w:val="auto"/>
              </w:rPr>
            </w:pPr>
          </w:p>
        </w:tc>
        <w:tc>
          <w:tcPr>
            <w:tcW w:w="100" w:type="dxa"/>
            <w:vAlign w:val="bottom"/>
            <w:tcBorders>
              <w:bottom w:val="single" w:sz="8" w:color="auto"/>
            </w:tcBorders>
            <w:shd w:val="clear" w:color="auto" w:fill="F8F4F1"/>
          </w:tcPr>
          <w:p>
            <w:pPr>
              <w:spacing w:after="0"/>
              <w:rPr>
                <w:sz w:val="20"/>
                <w:szCs w:val="20"/>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F8F4F1"/>
          </w:tcPr>
          <w:p>
            <w:pPr>
              <w:spacing w:after="0"/>
              <w:rPr>
                <w:sz w:val="20"/>
                <w:szCs w:val="20"/>
                <w:color w:val="auto"/>
              </w:rPr>
            </w:pPr>
          </w:p>
        </w:tc>
        <w:tc>
          <w:tcPr>
            <w:tcW w:w="140" w:type="dxa"/>
            <w:vAlign w:val="bottom"/>
            <w:tcBorders>
              <w:bottom w:val="single" w:sz="8" w:color="auto"/>
            </w:tcBorders>
            <w:shd w:val="clear" w:color="auto" w:fill="F8F4F1"/>
          </w:tcPr>
          <w:p>
            <w:pPr>
              <w:spacing w:after="0"/>
              <w:rPr>
                <w:sz w:val="20"/>
                <w:szCs w:val="20"/>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36"/>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83,267</w:t>
            </w:r>
          </w:p>
        </w:tc>
      </w:tr>
      <w:tr>
        <w:trPr>
          <w:trHeight w:val="21"/>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accrual-based revenues, property operating costs, and other segment items included in NOI by geographic reportable segment for the nine months ended September 30, 2026 and 2025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Operating Costs</w:t>
            </w:r>
          </w:p>
        </w:tc>
        <w:tc>
          <w:tcPr>
            <w:tcW w:w="1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Items</w:t>
            </w:r>
          </w:p>
        </w:tc>
        <w:tc>
          <w:tcPr>
            <w:tcW w:w="400" w:type="dxa"/>
            <w:vAlign w:val="bottom"/>
          </w:tcPr>
          <w:p>
            <w:pPr>
              <w:spacing w:after="0"/>
              <w:rPr>
                <w:sz w:val="18"/>
                <w:szCs w:val="18"/>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NOI</w:t>
            </w:r>
          </w:p>
        </w:tc>
      </w:tr>
      <w:tr>
        <w:trPr>
          <w:trHeight w:val="23"/>
        </w:trPr>
        <w:tc>
          <w:tcPr>
            <w:tcW w:w="4240" w:type="dxa"/>
            <w:vAlign w:val="bottom"/>
            <w:tcBorders>
              <w:bottom w:val="single" w:sz="8" w:color="F8F4F1"/>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2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138,067</w:t>
            </w:r>
          </w:p>
        </w:tc>
        <w:tc>
          <w:tcPr>
            <w:tcW w:w="100" w:type="dxa"/>
            <w:vAlign w:val="bottom"/>
            <w:shd w:val="clear" w:color="auto" w:fill="F8F4F1"/>
          </w:tcPr>
          <w:p>
            <w:pPr>
              <w:spacing w:after="0"/>
              <w:rPr>
                <w:sz w:val="20"/>
                <w:szCs w:val="20"/>
                <w:color w:val="auto"/>
              </w:rPr>
            </w:pPr>
          </w:p>
        </w:tc>
        <w:tc>
          <w:tcPr>
            <w:tcW w:w="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47,623</w:t>
            </w:r>
          </w:p>
        </w:tc>
        <w:tc>
          <w:tcPr>
            <w:tcW w:w="100" w:type="dxa"/>
            <w:vAlign w:val="bottom"/>
            <w:shd w:val="clear" w:color="auto" w:fill="F8F4F1"/>
          </w:tcPr>
          <w:p>
            <w:pPr>
              <w:spacing w:after="0"/>
              <w:rPr>
                <w:sz w:val="20"/>
                <w:szCs w:val="20"/>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80" w:type="dxa"/>
            <w:vAlign w:val="bottom"/>
            <w:shd w:val="clear" w:color="auto" w:fill="F8F4F1"/>
          </w:tcPr>
          <w:p>
            <w:pPr>
              <w:spacing w:after="0"/>
              <w:rPr>
                <w:sz w:val="20"/>
                <w:szCs w:val="20"/>
                <w:color w:val="auto"/>
              </w:rPr>
            </w:pPr>
          </w:p>
        </w:tc>
        <w:tc>
          <w:tcPr>
            <w:tcW w:w="400" w:type="dxa"/>
            <w:vAlign w:val="bottom"/>
            <w:shd w:val="clear" w:color="auto" w:fill="F8F4F1"/>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91,993</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Dallas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46,206</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56,180</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20,682</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35,653</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Virginia/Washington, D.C.</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23,261</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44,916</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20,158</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24,819</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Minneapolis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16,174</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40" w:type="dxa"/>
            <w:vAlign w:val="bottom"/>
            <w:tcBorders>
              <w:bottom w:val="single" w:sz="8" w:color="auto"/>
            </w:tcBorders>
            <w:shd w:val="clear" w:color="auto" w:fill="F8F4F1"/>
          </w:tcPr>
          <w:p>
            <w:pPr>
              <w:spacing w:after="0"/>
              <w:rPr>
                <w:sz w:val="21"/>
                <w:szCs w:val="21"/>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29,231</w:t>
            </w:r>
          </w:p>
        </w:tc>
        <w:tc>
          <w:tcPr>
            <w:tcW w:w="100" w:type="dxa"/>
            <w:vAlign w:val="bottom"/>
            <w:shd w:val="clear" w:color="auto" w:fill="F8F4F1"/>
          </w:tcPr>
          <w:p>
            <w:pPr>
              <w:spacing w:after="0"/>
              <w:rPr>
                <w:sz w:val="21"/>
                <w:szCs w:val="21"/>
                <w:color w:val="auto"/>
              </w:rPr>
            </w:pPr>
          </w:p>
        </w:tc>
        <w:tc>
          <w:tcPr>
            <w:tcW w:w="100" w:type="dxa"/>
            <w:vAlign w:val="bottom"/>
            <w:tcBorders>
              <w:bottom w:val="single" w:sz="8" w:color="auto"/>
            </w:tcBorders>
            <w:shd w:val="clear" w:color="auto" w:fill="F8F4F1"/>
          </w:tcPr>
          <w:p>
            <w:pPr>
              <w:spacing w:after="0"/>
              <w:rPr>
                <w:sz w:val="21"/>
                <w:szCs w:val="21"/>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10,706</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shd w:val="clear" w:color="auto" w:fill="F8F4F1"/>
          </w:tcPr>
          <w:p>
            <w:pPr>
              <w:spacing w:after="0"/>
              <w:rPr>
                <w:sz w:val="21"/>
                <w:szCs w:val="21"/>
                <w:color w:val="auto"/>
              </w:rPr>
            </w:pPr>
          </w:p>
        </w:tc>
        <w:tc>
          <w:tcPr>
            <w:tcW w:w="4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18,559</w:t>
            </w:r>
          </w:p>
        </w:tc>
      </w:tr>
      <w:tr>
        <w:trPr>
          <w:trHeight w:val="237"/>
        </w:trPr>
        <w:tc>
          <w:tcPr>
            <w:tcW w:w="4240" w:type="dxa"/>
            <w:vAlign w:val="bottom"/>
            <w:tcBorders>
              <w:bottom w:val="single" w:sz="8" w:color="F8F4F1"/>
            </w:tcBorders>
          </w:tcPr>
          <w:p>
            <w:pPr>
              <w:ind w:left="18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423,539</w:t>
            </w:r>
          </w:p>
        </w:tc>
        <w:tc>
          <w:tcPr>
            <w:tcW w:w="100" w:type="dxa"/>
            <w:vAlign w:val="bottom"/>
            <w:tcBorders>
              <w:bottom w:val="single" w:sz="8" w:color="F8F4F1"/>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170,131</w:t>
            </w:r>
          </w:p>
        </w:tc>
        <w:tc>
          <w:tcPr>
            <w:tcW w:w="100" w:type="dxa"/>
            <w:vAlign w:val="bottom"/>
            <w:tcBorders>
              <w:bottom w:val="single" w:sz="8" w:color="F8F4F1"/>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3,257</w:t>
            </w:r>
          </w:p>
        </w:tc>
        <w:tc>
          <w:tcPr>
            <w:tcW w:w="80" w:type="dxa"/>
            <w:vAlign w:val="bottom"/>
            <w:tcBorders>
              <w:bottom w:val="single" w:sz="8" w:color="F8F4F1"/>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256,665</w:t>
            </w:r>
          </w:p>
        </w:tc>
      </w:tr>
      <w:tr>
        <w:trPr>
          <w:trHeight w:val="236"/>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F8F4F1"/>
          </w:tcPr>
          <w:p>
            <w:pPr>
              <w:spacing w:after="0"/>
              <w:rPr>
                <w:sz w:val="20"/>
                <w:szCs w:val="20"/>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15,114</w:t>
            </w:r>
          </w:p>
        </w:tc>
        <w:tc>
          <w:tcPr>
            <w:tcW w:w="100" w:type="dxa"/>
            <w:vAlign w:val="bottom"/>
            <w:shd w:val="clear" w:color="auto" w:fill="F8F4F1"/>
          </w:tcPr>
          <w:p>
            <w:pPr>
              <w:spacing w:after="0"/>
              <w:rPr>
                <w:sz w:val="20"/>
                <w:szCs w:val="20"/>
                <w:color w:val="auto"/>
              </w:rPr>
            </w:pPr>
          </w:p>
        </w:tc>
        <w:tc>
          <w:tcPr>
            <w:tcW w:w="100" w:type="dxa"/>
            <w:vAlign w:val="bottom"/>
            <w:tcBorders>
              <w:bottom w:val="single" w:sz="8" w:color="auto"/>
            </w:tcBorders>
            <w:shd w:val="clear" w:color="auto" w:fill="F8F4F1"/>
          </w:tcPr>
          <w:p>
            <w:pPr>
              <w:spacing w:after="0"/>
              <w:rPr>
                <w:sz w:val="20"/>
                <w:szCs w:val="20"/>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3,190</w:t>
            </w:r>
          </w:p>
        </w:tc>
        <w:tc>
          <w:tcPr>
            <w:tcW w:w="100" w:type="dxa"/>
            <w:vAlign w:val="bottom"/>
            <w:shd w:val="clear" w:color="auto" w:fill="F8F4F1"/>
          </w:tcPr>
          <w:p>
            <w:pPr>
              <w:spacing w:after="0"/>
              <w:rPr>
                <w:sz w:val="20"/>
                <w:szCs w:val="20"/>
                <w:color w:val="auto"/>
              </w:rPr>
            </w:pPr>
          </w:p>
        </w:tc>
        <w:tc>
          <w:tcPr>
            <w:tcW w:w="140" w:type="dxa"/>
            <w:vAlign w:val="bottom"/>
            <w:tcBorders>
              <w:bottom w:val="single" w:sz="8" w:color="auto"/>
            </w:tcBorders>
            <w:shd w:val="clear" w:color="auto" w:fill="F8F4F1"/>
          </w:tcPr>
          <w:p>
            <w:pPr>
              <w:spacing w:after="0"/>
              <w:rPr>
                <w:sz w:val="20"/>
                <w:szCs w:val="20"/>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(3,366)</w:t>
            </w:r>
          </w:p>
        </w:tc>
        <w:tc>
          <w:tcPr>
            <w:tcW w:w="8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8,558</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438,653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173,321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265,223</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834"/>
        </w:trPr>
        <w:tc>
          <w:tcPr>
            <w:tcW w:w="102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Property Operating Costs</w:t>
            </w:r>
          </w:p>
        </w:tc>
        <w:tc>
          <w:tcPr>
            <w:tcW w:w="14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Items</w:t>
            </w:r>
          </w:p>
        </w:tc>
        <w:tc>
          <w:tcPr>
            <w:tcW w:w="400" w:type="dxa"/>
            <w:vAlign w:val="bottom"/>
          </w:tcPr>
          <w:p>
            <w:pPr>
              <w:spacing w:after="0"/>
              <w:rPr>
                <w:sz w:val="18"/>
                <w:szCs w:val="18"/>
                <w:color w:val="auto"/>
              </w:rPr>
            </w:pPr>
          </w:p>
        </w:tc>
        <w:tc>
          <w:tcPr>
            <w:tcW w:w="12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NOI</w:t>
            </w:r>
          </w:p>
        </w:tc>
      </w:tr>
      <w:tr>
        <w:trPr>
          <w:trHeight w:val="23"/>
        </w:trPr>
        <w:tc>
          <w:tcPr>
            <w:tcW w:w="4240" w:type="dxa"/>
            <w:vAlign w:val="bottom"/>
            <w:tcBorders>
              <w:bottom w:val="single" w:sz="8" w:color="F8F4F1"/>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F8F4F1"/>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24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134,259</w:t>
            </w:r>
          </w:p>
        </w:tc>
        <w:tc>
          <w:tcPr>
            <w:tcW w:w="100" w:type="dxa"/>
            <w:vAlign w:val="bottom"/>
            <w:shd w:val="clear" w:color="auto" w:fill="F8F4F1"/>
          </w:tcPr>
          <w:p>
            <w:pPr>
              <w:spacing w:after="0"/>
              <w:rPr>
                <w:sz w:val="20"/>
                <w:szCs w:val="20"/>
                <w:color w:val="auto"/>
              </w:rPr>
            </w:pPr>
          </w:p>
        </w:tc>
        <w:tc>
          <w:tcPr>
            <w:tcW w:w="1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48,645</w:t>
            </w:r>
          </w:p>
        </w:tc>
        <w:tc>
          <w:tcPr>
            <w:tcW w:w="100" w:type="dxa"/>
            <w:vAlign w:val="bottom"/>
            <w:shd w:val="clear" w:color="auto" w:fill="F8F4F1"/>
          </w:tcPr>
          <w:p>
            <w:pPr>
              <w:spacing w:after="0"/>
              <w:rPr>
                <w:sz w:val="20"/>
                <w:szCs w:val="20"/>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0" w:type="dxa"/>
            <w:vAlign w:val="bottom"/>
            <w:shd w:val="clear" w:color="auto" w:fill="F8F4F1"/>
          </w:tcPr>
          <w:p>
            <w:pPr>
              <w:spacing w:after="0"/>
              <w:rPr>
                <w:sz w:val="20"/>
                <w:szCs w:val="20"/>
                <w:color w:val="auto"/>
              </w:rPr>
            </w:pPr>
          </w:p>
        </w:tc>
        <w:tc>
          <w:tcPr>
            <w:tcW w:w="400" w:type="dxa"/>
            <w:vAlign w:val="bottom"/>
            <w:shd w:val="clear" w:color="auto" w:fill="F8F4F1"/>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87,077</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Dallas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47,152</w:t>
            </w:r>
          </w:p>
        </w:tc>
      </w:tr>
      <w:tr>
        <w:trPr>
          <w:trHeight w:val="243"/>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46,563</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26,686</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Virginia/Washington, D.C.</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w:t>
            </w:r>
          </w:p>
        </w:tc>
      </w:tr>
      <w:tr>
        <w:trPr>
          <w:trHeight w:val="243"/>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240" w:type="dxa"/>
            <w:vAlign w:val="bottom"/>
            <w:shd w:val="clear" w:color="auto" w:fill="F8F4F1"/>
          </w:tcPr>
          <w:p>
            <w:pPr>
              <w:spacing w:after="0"/>
              <w:rPr>
                <w:sz w:val="21"/>
                <w:szCs w:val="21"/>
                <w:color w:val="auto"/>
              </w:rPr>
            </w:pPr>
          </w:p>
        </w:tc>
        <w:tc>
          <w:tcPr>
            <w:tcW w:w="14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43,817</w:t>
            </w:r>
          </w:p>
        </w:tc>
        <w:tc>
          <w:tcPr>
            <w:tcW w:w="10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F8F4F1"/>
          </w:tcPr>
          <w:p>
            <w:pPr>
              <w:spacing w:after="0"/>
              <w:rPr>
                <w:sz w:val="21"/>
                <w:szCs w:val="21"/>
                <w:color w:val="auto"/>
              </w:rPr>
            </w:pPr>
          </w:p>
        </w:tc>
        <w:tc>
          <w:tcPr>
            <w:tcW w:w="400" w:type="dxa"/>
            <w:vAlign w:val="bottom"/>
            <w:shd w:val="clear" w:color="auto" w:fill="F8F4F1"/>
          </w:tcPr>
          <w:p>
            <w:pPr>
              <w:spacing w:after="0"/>
              <w:rPr>
                <w:sz w:val="21"/>
                <w:szCs w:val="21"/>
                <w:color w:val="auto"/>
              </w:rPr>
            </w:pPr>
          </w:p>
        </w:tc>
        <w:tc>
          <w:tcPr>
            <w:tcW w:w="12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23,559</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Minneapolis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18,095</w:t>
            </w:r>
          </w:p>
        </w:tc>
      </w:tr>
      <w:tr>
        <w:trPr>
          <w:trHeight w:val="243"/>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40" w:type="dxa"/>
            <w:vAlign w:val="bottom"/>
            <w:tcBorders>
              <w:bottom w:val="single" w:sz="8" w:color="auto"/>
            </w:tcBorders>
            <w:shd w:val="clear" w:color="auto" w:fill="F8F4F1"/>
          </w:tcPr>
          <w:p>
            <w:pPr>
              <w:spacing w:after="0"/>
              <w:rPr>
                <w:sz w:val="21"/>
                <w:szCs w:val="21"/>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31,644</w:t>
            </w:r>
          </w:p>
        </w:tc>
        <w:tc>
          <w:tcPr>
            <w:tcW w:w="100" w:type="dxa"/>
            <w:vAlign w:val="bottom"/>
            <w:shd w:val="clear" w:color="auto" w:fill="F8F4F1"/>
          </w:tcPr>
          <w:p>
            <w:pPr>
              <w:spacing w:after="0"/>
              <w:rPr>
                <w:sz w:val="21"/>
                <w:szCs w:val="21"/>
                <w:color w:val="auto"/>
              </w:rPr>
            </w:pPr>
          </w:p>
        </w:tc>
        <w:tc>
          <w:tcPr>
            <w:tcW w:w="100" w:type="dxa"/>
            <w:vAlign w:val="bottom"/>
            <w:tcBorders>
              <w:bottom w:val="single" w:sz="8" w:color="auto"/>
            </w:tcBorders>
            <w:shd w:val="clear" w:color="auto" w:fill="F8F4F1"/>
          </w:tcPr>
          <w:p>
            <w:pPr>
              <w:spacing w:after="0"/>
              <w:rPr>
                <w:sz w:val="21"/>
                <w:szCs w:val="21"/>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F8F4F1"/>
          </w:tcPr>
          <w:p>
            <w:pPr>
              <w:spacing w:after="0"/>
              <w:rPr>
                <w:sz w:val="21"/>
                <w:szCs w:val="21"/>
                <w:color w:val="auto"/>
              </w:rPr>
            </w:pPr>
          </w:p>
        </w:tc>
        <w:tc>
          <w:tcPr>
            <w:tcW w:w="40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19,638</w:t>
            </w:r>
          </w:p>
        </w:tc>
      </w:tr>
      <w:tr>
        <w:trPr>
          <w:trHeight w:val="237"/>
        </w:trPr>
        <w:tc>
          <w:tcPr>
            <w:tcW w:w="4240" w:type="dxa"/>
            <w:vAlign w:val="bottom"/>
            <w:tcBorders>
              <w:bottom w:val="single" w:sz="8" w:color="F8F4F1"/>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407,145</w:t>
            </w:r>
          </w:p>
        </w:tc>
        <w:tc>
          <w:tcPr>
            <w:tcW w:w="100" w:type="dxa"/>
            <w:vAlign w:val="bottom"/>
            <w:tcBorders>
              <w:bottom w:val="single" w:sz="8" w:color="F8F4F1"/>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166,593</w:t>
            </w:r>
          </w:p>
        </w:tc>
        <w:tc>
          <w:tcPr>
            <w:tcW w:w="100" w:type="dxa"/>
            <w:vAlign w:val="bottom"/>
            <w:tcBorders>
              <w:bottom w:val="single" w:sz="8" w:color="F8F4F1"/>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tcBorders>
              <w:bottom w:val="single" w:sz="8" w:color="F8F4F1"/>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243,578</w:t>
            </w:r>
          </w:p>
        </w:tc>
      </w:tr>
      <w:tr>
        <w:trPr>
          <w:trHeight w:val="237"/>
        </w:trPr>
        <w:tc>
          <w:tcPr>
            <w:tcW w:w="4240" w:type="dxa"/>
            <w:vAlign w:val="bottom"/>
            <w:gridSpan w:val="2"/>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F8F4F1"/>
          </w:tcPr>
          <w:p>
            <w:pPr>
              <w:spacing w:after="0"/>
              <w:rPr>
                <w:sz w:val="20"/>
                <w:szCs w:val="20"/>
                <w:color w:val="auto"/>
              </w:rPr>
            </w:pPr>
          </w:p>
        </w:tc>
        <w:tc>
          <w:tcPr>
            <w:tcW w:w="14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shd w:val="clear" w:color="auto" w:fill="F8F4F1"/>
          </w:tcPr>
          <w:p>
            <w:pPr>
              <w:spacing w:after="0"/>
              <w:rPr>
                <w:sz w:val="20"/>
                <w:szCs w:val="20"/>
                <w:color w:val="auto"/>
              </w:rPr>
            </w:pPr>
          </w:p>
        </w:tc>
        <w:tc>
          <w:tcPr>
            <w:tcW w:w="100" w:type="dxa"/>
            <w:vAlign w:val="bottom"/>
            <w:tcBorders>
              <w:bottom w:val="single" w:sz="8" w:color="auto"/>
            </w:tcBorders>
            <w:shd w:val="clear" w:color="auto" w:fill="F8F4F1"/>
          </w:tcPr>
          <w:p>
            <w:pPr>
              <w:spacing w:after="0"/>
              <w:rPr>
                <w:sz w:val="20"/>
                <w:szCs w:val="20"/>
                <w:color w:val="auto"/>
              </w:rPr>
            </w:pPr>
          </w:p>
        </w:tc>
        <w:tc>
          <w:tcPr>
            <w:tcW w:w="1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F8F4F1"/>
          </w:tcPr>
          <w:p>
            <w:pPr>
              <w:spacing w:after="0"/>
              <w:rPr>
                <w:sz w:val="20"/>
                <w:szCs w:val="20"/>
                <w:color w:val="auto"/>
              </w:rPr>
            </w:pPr>
          </w:p>
        </w:tc>
        <w:tc>
          <w:tcPr>
            <w:tcW w:w="140" w:type="dxa"/>
            <w:vAlign w:val="bottom"/>
            <w:tcBorders>
              <w:bottom w:val="single" w:sz="8" w:color="auto"/>
            </w:tcBorders>
            <w:shd w:val="clear" w:color="auto" w:fill="F8F4F1"/>
          </w:tcPr>
          <w:p>
            <w:pPr>
              <w:spacing w:after="0"/>
              <w:rPr>
                <w:sz w:val="20"/>
                <w:szCs w:val="20"/>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shd w:val="clear" w:color="auto" w:fill="F8F4F1"/>
          </w:tcPr>
          <w:p>
            <w:pPr>
              <w:spacing w:after="0"/>
              <w:rPr>
                <w:sz w:val="20"/>
                <w:szCs w:val="20"/>
                <w:color w:val="auto"/>
              </w:rPr>
            </w:pPr>
          </w:p>
        </w:tc>
        <w:tc>
          <w:tcPr>
            <w:tcW w:w="400" w:type="dxa"/>
            <w:vAlign w:val="bottom"/>
            <w:tcBorders>
              <w:bottom w:val="single" w:sz="8" w:color="auto"/>
            </w:tcBorders>
            <w:shd w:val="clear" w:color="auto" w:fill="F8F4F1"/>
          </w:tcPr>
          <w:p>
            <w:pPr>
              <w:spacing w:after="0"/>
              <w:rPr>
                <w:sz w:val="20"/>
                <w:szCs w:val="20"/>
                <w:color w:val="auto"/>
              </w:rPr>
            </w:pPr>
          </w:p>
        </w:tc>
        <w:tc>
          <w:tcPr>
            <w:tcW w:w="12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9,220</w:t>
            </w:r>
          </w:p>
        </w:tc>
      </w:tr>
      <w:tr>
        <w:trPr>
          <w:trHeight w:val="237"/>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422,141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252,798</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loss applicable to Piedmont to NOI is presented below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5400" w:type="dxa"/>
            <w:vAlign w:val="bottom"/>
            <w:tcBorders>
              <w:bottom w:val="single" w:sz="8" w:color="F8F4F1"/>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F8F4F1"/>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applicable to Piedmont</w:t>
            </w:r>
          </w:p>
        </w:tc>
        <w:tc>
          <w:tcPr>
            <w:tcW w:w="420" w:type="dxa"/>
            <w:vAlign w:val="bottom"/>
            <w:shd w:val="clear" w:color="auto" w:fill="F8F4F1"/>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(21,022)</w:t>
            </w:r>
          </w:p>
        </w:tc>
        <w:tc>
          <w:tcPr>
            <w:tcW w:w="100" w:type="dxa"/>
            <w:vAlign w:val="bottom"/>
            <w:shd w:val="clear" w:color="auto" w:fill="F8F4F1"/>
          </w:tcPr>
          <w:p>
            <w:pPr>
              <w:spacing w:after="0"/>
              <w:rPr>
                <w:sz w:val="20"/>
                <w:szCs w:val="20"/>
                <w:color w:val="auto"/>
              </w:rPr>
            </w:pPr>
          </w:p>
        </w:tc>
        <w:tc>
          <w:tcPr>
            <w:tcW w:w="660" w:type="dxa"/>
            <w:vAlign w:val="bottom"/>
            <w:shd w:val="clear" w:color="auto" w:fill="F8F4F1"/>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20" w:type="dxa"/>
            <w:vAlign w:val="bottom"/>
            <w:shd w:val="clear" w:color="auto" w:fill="F8F4F1"/>
          </w:tcPr>
          <w:p>
            <w:pPr>
              <w:spacing w:after="0"/>
              <w:rPr>
                <w:sz w:val="20"/>
                <w:szCs w:val="20"/>
                <w:color w:val="auto"/>
              </w:rPr>
            </w:pPr>
          </w:p>
        </w:tc>
        <w:tc>
          <w:tcPr>
            <w:tcW w:w="420" w:type="dxa"/>
            <w:vAlign w:val="bottom"/>
            <w:shd w:val="clear" w:color="auto" w:fill="F8F4F1"/>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(45,043)</w:t>
            </w:r>
          </w:p>
        </w:tc>
        <w:tc>
          <w:tcPr>
            <w:tcW w:w="100" w:type="dxa"/>
            <w:vAlign w:val="bottom"/>
            <w:shd w:val="clear" w:color="auto" w:fill="F8F4F1"/>
          </w:tcPr>
          <w:p>
            <w:pPr>
              <w:spacing w:after="0"/>
              <w:rPr>
                <w:sz w:val="20"/>
                <w:szCs w:val="20"/>
                <w:color w:val="auto"/>
              </w:rPr>
            </w:pPr>
          </w:p>
        </w:tc>
        <w:tc>
          <w:tcPr>
            <w:tcW w:w="660" w:type="dxa"/>
            <w:vAlign w:val="bottom"/>
            <w:shd w:val="clear" w:color="auto" w:fill="F8F4F1"/>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(40,374)</w:t>
            </w:r>
          </w:p>
        </w:tc>
      </w:tr>
      <w:tr>
        <w:trPr>
          <w:trHeight w:val="243"/>
        </w:trPr>
        <w:tc>
          <w:tcPr>
            <w:tcW w:w="5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Management fee revenue </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54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F8F4F1"/>
          </w:tcPr>
          <w:p>
            <w:pPr>
              <w:spacing w:after="0"/>
              <w:rPr>
                <w:sz w:val="21"/>
                <w:szCs w:val="21"/>
                <w:color w:val="auto"/>
              </w:rPr>
            </w:pP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60,168</w:t>
            </w:r>
          </w:p>
        </w:tc>
        <w:tc>
          <w:tcPr>
            <w:tcW w:w="100" w:type="dxa"/>
            <w:vAlign w:val="bottom"/>
            <w:shd w:val="clear" w:color="auto" w:fill="F8F4F1"/>
          </w:tcPr>
          <w:p>
            <w:pPr>
              <w:spacing w:after="0"/>
              <w:rPr>
                <w:sz w:val="21"/>
                <w:szCs w:val="21"/>
                <w:color w:val="auto"/>
              </w:rPr>
            </w:pPr>
          </w:p>
        </w:tc>
        <w:tc>
          <w:tcPr>
            <w:tcW w:w="660" w:type="dxa"/>
            <w:vAlign w:val="bottom"/>
            <w:shd w:val="clear" w:color="auto" w:fill="F8F4F1"/>
          </w:tcPr>
          <w:p>
            <w:pPr>
              <w:spacing w:after="0"/>
              <w:rPr>
                <w:sz w:val="21"/>
                <w:szCs w:val="21"/>
                <w:color w:val="auto"/>
              </w:rPr>
            </w:pPr>
          </w:p>
        </w:tc>
        <w:tc>
          <w:tcPr>
            <w:tcW w:w="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57,315</w:t>
            </w:r>
          </w:p>
        </w:tc>
        <w:tc>
          <w:tcPr>
            <w:tcW w:w="120" w:type="dxa"/>
            <w:vAlign w:val="bottom"/>
            <w:shd w:val="clear" w:color="auto" w:fill="F8F4F1"/>
          </w:tcPr>
          <w:p>
            <w:pPr>
              <w:spacing w:after="0"/>
              <w:rPr>
                <w:sz w:val="21"/>
                <w:szCs w:val="21"/>
                <w:color w:val="auto"/>
              </w:rPr>
            </w:pPr>
          </w:p>
        </w:tc>
        <w:tc>
          <w:tcPr>
            <w:tcW w:w="420" w:type="dxa"/>
            <w:vAlign w:val="bottom"/>
            <w:shd w:val="clear" w:color="auto" w:fill="F8F4F1"/>
          </w:tcPr>
          <w:p>
            <w:pPr>
              <w:spacing w:after="0"/>
              <w:rPr>
                <w:sz w:val="21"/>
                <w:szCs w:val="21"/>
                <w:color w:val="auto"/>
              </w:rPr>
            </w:pP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178,770</w:t>
            </w:r>
          </w:p>
        </w:tc>
        <w:tc>
          <w:tcPr>
            <w:tcW w:w="100" w:type="dxa"/>
            <w:vAlign w:val="bottom"/>
            <w:shd w:val="clear" w:color="auto" w:fill="F8F4F1"/>
          </w:tcPr>
          <w:p>
            <w:pPr>
              <w:spacing w:after="0"/>
              <w:rPr>
                <w:sz w:val="21"/>
                <w:szCs w:val="21"/>
                <w:color w:val="auto"/>
              </w:rPr>
            </w:pPr>
          </w:p>
        </w:tc>
        <w:tc>
          <w:tcPr>
            <w:tcW w:w="660" w:type="dxa"/>
            <w:vAlign w:val="bottom"/>
            <w:shd w:val="clear" w:color="auto" w:fill="F8F4F1"/>
          </w:tcPr>
          <w:p>
            <w:pPr>
              <w:spacing w:after="0"/>
              <w:rPr>
                <w:sz w:val="21"/>
                <w:szCs w:val="21"/>
                <w:color w:val="auto"/>
              </w:rPr>
            </w:pP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169,061</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25,203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23,130</w:t>
            </w:r>
          </w:p>
        </w:tc>
      </w:tr>
      <w:tr>
        <w:trPr>
          <w:trHeight w:val="243"/>
        </w:trPr>
        <w:tc>
          <w:tcPr>
            <w:tcW w:w="54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F8F4F1"/>
          </w:tcPr>
          <w:p>
            <w:pPr>
              <w:spacing w:after="0"/>
              <w:rPr>
                <w:sz w:val="21"/>
                <w:szCs w:val="21"/>
                <w:color w:val="auto"/>
              </w:rPr>
            </w:pP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32,026</w:t>
            </w:r>
          </w:p>
        </w:tc>
        <w:tc>
          <w:tcPr>
            <w:tcW w:w="100" w:type="dxa"/>
            <w:vAlign w:val="bottom"/>
            <w:shd w:val="clear" w:color="auto" w:fill="F8F4F1"/>
          </w:tcPr>
          <w:p>
            <w:pPr>
              <w:spacing w:after="0"/>
              <w:rPr>
                <w:sz w:val="21"/>
                <w:szCs w:val="21"/>
                <w:color w:val="auto"/>
              </w:rPr>
            </w:pPr>
          </w:p>
        </w:tc>
        <w:tc>
          <w:tcPr>
            <w:tcW w:w="660" w:type="dxa"/>
            <w:vAlign w:val="bottom"/>
            <w:shd w:val="clear" w:color="auto" w:fill="F8F4F1"/>
          </w:tcPr>
          <w:p>
            <w:pPr>
              <w:spacing w:after="0"/>
              <w:rPr>
                <w:sz w:val="21"/>
                <w:szCs w:val="21"/>
                <w:color w:val="auto"/>
              </w:rPr>
            </w:pPr>
          </w:p>
        </w:tc>
        <w:tc>
          <w:tcPr>
            <w:tcW w:w="7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31,968</w:t>
            </w:r>
          </w:p>
        </w:tc>
        <w:tc>
          <w:tcPr>
            <w:tcW w:w="120" w:type="dxa"/>
            <w:vAlign w:val="bottom"/>
            <w:shd w:val="clear" w:color="auto" w:fill="F8F4F1"/>
          </w:tcPr>
          <w:p>
            <w:pPr>
              <w:spacing w:after="0"/>
              <w:rPr>
                <w:sz w:val="21"/>
                <w:szCs w:val="21"/>
                <w:color w:val="auto"/>
              </w:rPr>
            </w:pPr>
          </w:p>
        </w:tc>
        <w:tc>
          <w:tcPr>
            <w:tcW w:w="420" w:type="dxa"/>
            <w:vAlign w:val="bottom"/>
            <w:shd w:val="clear" w:color="auto" w:fill="F8F4F1"/>
          </w:tcPr>
          <w:p>
            <w:pPr>
              <w:spacing w:after="0"/>
              <w:rPr>
                <w:sz w:val="21"/>
                <w:szCs w:val="21"/>
                <w:color w:val="auto"/>
              </w:rPr>
            </w:pP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95,829</w:t>
            </w:r>
          </w:p>
        </w:tc>
        <w:tc>
          <w:tcPr>
            <w:tcW w:w="100" w:type="dxa"/>
            <w:vAlign w:val="bottom"/>
            <w:shd w:val="clear" w:color="auto" w:fill="F8F4F1"/>
          </w:tcPr>
          <w:p>
            <w:pPr>
              <w:spacing w:after="0"/>
              <w:rPr>
                <w:sz w:val="21"/>
                <w:szCs w:val="21"/>
                <w:color w:val="auto"/>
              </w:rPr>
            </w:pPr>
          </w:p>
        </w:tc>
        <w:tc>
          <w:tcPr>
            <w:tcW w:w="660" w:type="dxa"/>
            <w:vAlign w:val="bottom"/>
            <w:shd w:val="clear" w:color="auto" w:fill="F8F4F1"/>
          </w:tcPr>
          <w:p>
            <w:pPr>
              <w:spacing w:after="0"/>
              <w:rPr>
                <w:sz w:val="21"/>
                <w:szCs w:val="21"/>
                <w:color w:val="auto"/>
              </w:rPr>
            </w:pP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95,599</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54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420" w:type="dxa"/>
            <w:vAlign w:val="bottom"/>
            <w:shd w:val="clear" w:color="auto" w:fill="F8F4F1"/>
          </w:tcPr>
          <w:p>
            <w:pPr>
              <w:spacing w:after="0"/>
              <w:rPr>
                <w:sz w:val="21"/>
                <w:szCs w:val="21"/>
                <w:color w:val="auto"/>
              </w:rPr>
            </w:pP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00" w:type="dxa"/>
            <w:vAlign w:val="bottom"/>
            <w:shd w:val="clear" w:color="auto" w:fill="F8F4F1"/>
          </w:tcPr>
          <w:p>
            <w:pPr>
              <w:spacing w:after="0"/>
              <w:rPr>
                <w:sz w:val="21"/>
                <w:szCs w:val="21"/>
                <w:color w:val="auto"/>
              </w:rPr>
            </w:pPr>
          </w:p>
        </w:tc>
        <w:tc>
          <w:tcPr>
            <w:tcW w:w="660" w:type="dxa"/>
            <w:vAlign w:val="bottom"/>
            <w:shd w:val="clear" w:color="auto" w:fill="F8F4F1"/>
          </w:tcPr>
          <w:p>
            <w:pPr>
              <w:spacing w:after="0"/>
              <w:rPr>
                <w:sz w:val="21"/>
                <w:szCs w:val="21"/>
                <w:color w:val="auto"/>
              </w:rPr>
            </w:pPr>
          </w:p>
        </w:tc>
        <w:tc>
          <w:tcPr>
            <w:tcW w:w="82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F8F4F1"/>
          </w:tcPr>
          <w:p>
            <w:pPr>
              <w:spacing w:after="0"/>
              <w:rPr>
                <w:sz w:val="21"/>
                <w:szCs w:val="21"/>
                <w:color w:val="auto"/>
              </w:rPr>
            </w:pPr>
          </w:p>
        </w:tc>
        <w:tc>
          <w:tcPr>
            <w:tcW w:w="9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00" w:type="dxa"/>
            <w:vAlign w:val="bottom"/>
            <w:shd w:val="clear" w:color="auto" w:fill="F8F4F1"/>
          </w:tcPr>
          <w:p>
            <w:pPr>
              <w:spacing w:after="0"/>
              <w:rPr>
                <w:sz w:val="21"/>
                <w:szCs w:val="21"/>
                <w:color w:val="auto"/>
              </w:rPr>
            </w:pPr>
          </w:p>
        </w:tc>
        <w:tc>
          <w:tcPr>
            <w:tcW w:w="660" w:type="dxa"/>
            <w:vAlign w:val="bottom"/>
            <w:shd w:val="clear" w:color="auto" w:fill="F8F4F1"/>
          </w:tcPr>
          <w:p>
            <w:pPr>
              <w:spacing w:after="0"/>
              <w:rPr>
                <w:sz w:val="21"/>
                <w:szCs w:val="21"/>
                <w:color w:val="auto"/>
              </w:rPr>
            </w:pPr>
          </w:p>
        </w:tc>
        <w:tc>
          <w:tcPr>
            <w:tcW w:w="7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43"/>
        </w:trPr>
        <w:tc>
          <w:tcPr>
            <w:tcW w:w="54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Net income applicable to noncontrolling interest</w:t>
            </w:r>
          </w:p>
        </w:tc>
        <w:tc>
          <w:tcPr>
            <w:tcW w:w="420" w:type="dxa"/>
            <w:vAlign w:val="bottom"/>
            <w:tcBorders>
              <w:bottom w:val="single" w:sz="8" w:color="auto"/>
            </w:tcBorders>
            <w:shd w:val="clear" w:color="auto" w:fill="F8F4F1"/>
          </w:tcPr>
          <w:p>
            <w:pPr>
              <w:spacing w:after="0"/>
              <w:rPr>
                <w:sz w:val="21"/>
                <w:szCs w:val="21"/>
                <w:color w:val="auto"/>
              </w:rPr>
            </w:pPr>
          </w:p>
        </w:tc>
        <w:tc>
          <w:tcPr>
            <w:tcW w:w="9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F8F4F1"/>
          </w:tcPr>
          <w:p>
            <w:pPr>
              <w:spacing w:after="0"/>
              <w:rPr>
                <w:sz w:val="21"/>
                <w:szCs w:val="21"/>
                <w:color w:val="auto"/>
              </w:rPr>
            </w:pPr>
          </w:p>
        </w:tc>
        <w:tc>
          <w:tcPr>
            <w:tcW w:w="660" w:type="dxa"/>
            <w:vAlign w:val="bottom"/>
            <w:tcBorders>
              <w:bottom w:val="single" w:sz="8" w:color="auto"/>
            </w:tcBorders>
            <w:shd w:val="clear" w:color="auto" w:fill="F8F4F1"/>
          </w:tcPr>
          <w:p>
            <w:pPr>
              <w:spacing w:after="0"/>
              <w:rPr>
                <w:sz w:val="21"/>
                <w:szCs w:val="21"/>
                <w:color w:val="auto"/>
              </w:rPr>
            </w:pPr>
          </w:p>
        </w:tc>
        <w:tc>
          <w:tcPr>
            <w:tcW w:w="7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8F4F1"/>
          </w:tcPr>
          <w:p>
            <w:pPr>
              <w:spacing w:after="0"/>
              <w:rPr>
                <w:sz w:val="21"/>
                <w:szCs w:val="21"/>
                <w:color w:val="auto"/>
              </w:rPr>
            </w:pPr>
          </w:p>
        </w:tc>
        <w:tc>
          <w:tcPr>
            <w:tcW w:w="420" w:type="dxa"/>
            <w:vAlign w:val="bottom"/>
            <w:tcBorders>
              <w:bottom w:val="single" w:sz="8" w:color="auto"/>
            </w:tcBorders>
            <w:shd w:val="clear" w:color="auto" w:fill="F8F4F1"/>
          </w:tcPr>
          <w:p>
            <w:pPr>
              <w:spacing w:after="0"/>
              <w:rPr>
                <w:sz w:val="21"/>
                <w:szCs w:val="21"/>
                <w:color w:val="auto"/>
              </w:rPr>
            </w:pPr>
          </w:p>
        </w:tc>
        <w:tc>
          <w:tcPr>
            <w:tcW w:w="9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F8F4F1"/>
          </w:tcPr>
          <w:p>
            <w:pPr>
              <w:spacing w:after="0"/>
              <w:rPr>
                <w:sz w:val="21"/>
                <w:szCs w:val="21"/>
                <w:color w:val="auto"/>
              </w:rPr>
            </w:pPr>
          </w:p>
        </w:tc>
        <w:tc>
          <w:tcPr>
            <w:tcW w:w="660" w:type="dxa"/>
            <w:vAlign w:val="bottom"/>
            <w:tcBorders>
              <w:bottom w:val="single" w:sz="8" w:color="auto"/>
            </w:tcBorders>
            <w:shd w:val="clear" w:color="auto" w:fill="F8F4F1"/>
          </w:tcPr>
          <w:p>
            <w:pPr>
              <w:spacing w:after="0"/>
              <w:rPr>
                <w:sz w:val="21"/>
                <w:szCs w:val="21"/>
                <w:color w:val="auto"/>
              </w:rPr>
            </w:pPr>
          </w:p>
        </w:tc>
        <w:tc>
          <w:tcPr>
            <w:tcW w:w="7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NOI</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91,148</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265,223</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252,798</w:t>
            </w:r>
          </w:p>
        </w:tc>
      </w:tr>
      <w:tr>
        <w:trPr>
          <w:trHeight w:val="21"/>
        </w:trPr>
        <w:tc>
          <w:tcPr>
            <w:tcW w:w="5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hanging="652"/>
        <w:spacing w:after="0" w:line="232"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Presented net of related operating expenses incurred to earn such management fee revenue. Such operating expenses are a component of property operating costs in the accompanying consolidated statements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consolidated financial statements and notes thereto of Piedmont Realty Trust, Inc. (“Piedmont,” "we," "our," or "us"). See also “Cautionary Note Regarding Forward-Looking Statements” preceding Part I, as well as the consolidated financial statements and accompanying notes thereto and Management’s Discussion and Analysis of Financial Condition and Results of Operations included in our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use cash on hand, cash flows generated from the operation of our properties, net proceeds from the disposition of select properties, and borrowings under our $600 Million Unsecured 2022 Line of Credit as our primary sources of immediate liquidity. As of September 30, 2026, we had approximately $448 million of borrowing capacity available under our $600 Million Unsecured 2022 Line of Credit and no required debt maturities until 2028. Consequently, we believe we have sufficient liquidity to meet our obligations for the foreseeable future; however, as part of our overall debt management strategy, we may seek other new secured or unsecured borrowings from third-party lenders or issue other debt or equity securities as additional sources of capital. The nature and timing of these additional sources of capital will be highly dependent upon market conditions.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most consistent use of capital has historically been, and we believe will continue to be, to fund capital expenditures for our existing portfolio of projects. During the nine months ended September 30, 2026 and 2025, we incurred the following types of capital expenditures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580" w:type="dxa"/>
            <w:vAlign w:val="bottom"/>
            <w:tcBorders>
              <w:bottom w:val="single" w:sz="8" w:color="F8F4F1"/>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F8F4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580" w:type="dxa"/>
            <w:vAlign w:val="bottom"/>
            <w:shd w:val="clear" w:color="auto" w:fill="F8F4F1"/>
          </w:tcPr>
          <w:p>
            <w:pPr>
              <w:spacing w:after="0"/>
              <w:rPr>
                <w:sz w:val="20"/>
                <w:szCs w:val="20"/>
                <w:color w:val="auto"/>
              </w:rPr>
            </w:pPr>
            <w:r>
              <w:rPr>
                <w:rFonts w:ascii="Times New Roman" w:cs="Times New Roman" w:eastAsia="Times New Roman" w:hAnsi="Times New Roman"/>
                <w:sz w:val="18"/>
                <w:szCs w:val="18"/>
                <w:color w:val="auto"/>
              </w:rPr>
              <w:t>Capital expenditures for redevelopment/renovations</w:t>
            </w:r>
          </w:p>
        </w:tc>
        <w:tc>
          <w:tcPr>
            <w:tcW w:w="220" w:type="dxa"/>
            <w:vAlign w:val="bottom"/>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23,379</w:t>
            </w:r>
          </w:p>
        </w:tc>
        <w:tc>
          <w:tcPr>
            <w:tcW w:w="120" w:type="dxa"/>
            <w:vAlign w:val="bottom"/>
            <w:shd w:val="clear" w:color="auto" w:fill="F8F4F1"/>
          </w:tcPr>
          <w:p>
            <w:pPr>
              <w:spacing w:after="0"/>
              <w:rPr>
                <w:sz w:val="20"/>
                <w:szCs w:val="20"/>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48,805</w:t>
            </w:r>
          </w:p>
        </w:tc>
      </w:tr>
      <w:tr>
        <w:trPr>
          <w:trHeight w:val="243"/>
        </w:trPr>
        <w:tc>
          <w:tcPr>
            <w:tcW w:w="7580" w:type="dxa"/>
            <w:vAlign w:val="bottom"/>
            <w:tcBorders>
              <w:bottom w:val="single" w:sz="8" w:color="F8F4F1"/>
            </w:tcBorders>
          </w:tcPr>
          <w:p>
            <w:pPr>
              <w:spacing w:after="0"/>
              <w:rPr>
                <w:sz w:val="20"/>
                <w:szCs w:val="20"/>
                <w:color w:val="auto"/>
              </w:rPr>
            </w:pPr>
            <w:r>
              <w:rPr>
                <w:rFonts w:ascii="Times New Roman" w:cs="Times New Roman" w:eastAsia="Times New Roman" w:hAnsi="Times New Roman"/>
                <w:sz w:val="18"/>
                <w:szCs w:val="18"/>
                <w:color w:val="auto"/>
              </w:rPr>
              <w:t>Other capital expenditures, including building and tenant improvements</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94,629</w:t>
            </w:r>
          </w:p>
        </w:tc>
        <w:tc>
          <w:tcPr>
            <w:tcW w:w="120" w:type="dxa"/>
            <w:vAlign w:val="bottom"/>
            <w:tcBorders>
              <w:bottom w:val="single" w:sz="8" w:color="F8F4F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67,008</w:t>
            </w:r>
          </w:p>
        </w:tc>
      </w:tr>
      <w:tr>
        <w:trPr>
          <w:trHeight w:val="262"/>
        </w:trPr>
        <w:tc>
          <w:tcPr>
            <w:tcW w:w="7580" w:type="dxa"/>
            <w:vAlign w:val="bottom"/>
            <w:tcBorders>
              <w:bottom w:val="single" w:sz="8" w:color="F8F4F1"/>
            </w:tcBorders>
            <w:shd w:val="clear" w:color="auto" w:fill="F8F4F1"/>
          </w:tcPr>
          <w:p>
            <w:pPr>
              <w:spacing w:after="0" w:line="236" w:lineRule="exact"/>
              <w:rPr>
                <w:sz w:val="20"/>
                <w:szCs w:val="20"/>
                <w:color w:val="auto"/>
              </w:rPr>
            </w:pPr>
            <w:r>
              <w:rPr>
                <w:rFonts w:ascii="Times New Roman" w:cs="Times New Roman" w:eastAsia="Times New Roman" w:hAnsi="Times New Roman"/>
                <w:sz w:val="18"/>
                <w:szCs w:val="18"/>
                <w:color w:val="auto"/>
              </w:rPr>
              <w:t xml:space="preserve">Total capital expenditures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F8F4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118,008</w:t>
            </w:r>
          </w:p>
        </w:tc>
        <w:tc>
          <w:tcPr>
            <w:tcW w:w="120" w:type="dxa"/>
            <w:vAlign w:val="bottom"/>
            <w:tcBorders>
              <w:bottom w:val="single" w:sz="8" w:color="F8F4F1"/>
            </w:tcBorders>
            <w:shd w:val="clear" w:color="auto" w:fill="F8F4F1"/>
          </w:tcPr>
          <w:p>
            <w:pPr>
              <w:spacing w:after="0"/>
              <w:rPr>
                <w:sz w:val="22"/>
                <w:szCs w:val="22"/>
                <w:color w:val="auto"/>
              </w:rPr>
            </w:pPr>
          </w:p>
        </w:tc>
        <w:tc>
          <w:tcPr>
            <w:tcW w:w="1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115,813</w:t>
            </w:r>
          </w:p>
        </w:tc>
      </w:tr>
      <w:tr>
        <w:trPr>
          <w:trHeight w:val="20"/>
        </w:trPr>
        <w:tc>
          <w:tcPr>
            <w:tcW w:w="7580" w:type="dxa"/>
            <w:vAlign w:val="bottom"/>
            <w:tcBorders>
              <w:top w:val="single" w:sz="8" w:color="F8F4F1"/>
            </w:tcBorders>
          </w:tcPr>
          <w:p>
            <w:pPr>
              <w:spacing w:after="0" w:line="20" w:lineRule="exact"/>
              <w:rPr>
                <w:sz w:val="1"/>
                <w:szCs w:val="1"/>
                <w:color w:val="auto"/>
              </w:rPr>
            </w:pPr>
          </w:p>
        </w:tc>
        <w:tc>
          <w:tcPr>
            <w:tcW w:w="220" w:type="dxa"/>
            <w:vAlign w:val="bottom"/>
            <w:tcBorders>
              <w:top w:val="single" w:sz="8" w:color="F8F4F1"/>
              <w:bottom w:val="single" w:sz="8" w:color="auto"/>
            </w:tcBorders>
          </w:tcPr>
          <w:p>
            <w:pPr>
              <w:spacing w:after="0" w:line="20" w:lineRule="exact"/>
              <w:rPr>
                <w:sz w:val="1"/>
                <w:szCs w:val="1"/>
                <w:color w:val="auto"/>
              </w:rPr>
            </w:pPr>
          </w:p>
        </w:tc>
        <w:tc>
          <w:tcPr>
            <w:tcW w:w="1680" w:type="dxa"/>
            <w:vAlign w:val="bottom"/>
            <w:tcBorders>
              <w:top w:val="single" w:sz="8" w:color="F8F4F1"/>
              <w:bottom w:val="single" w:sz="8" w:color="auto"/>
            </w:tcBorders>
          </w:tcPr>
          <w:p>
            <w:pPr>
              <w:spacing w:after="0" w:line="20" w:lineRule="exact"/>
              <w:rPr>
                <w:sz w:val="1"/>
                <w:szCs w:val="1"/>
                <w:color w:val="auto"/>
              </w:rPr>
            </w:pPr>
          </w:p>
        </w:tc>
        <w:tc>
          <w:tcPr>
            <w:tcW w:w="120" w:type="dxa"/>
            <w:vAlign w:val="bottom"/>
            <w:tcBorders>
              <w:top w:val="single" w:sz="8" w:color="F8F4F1"/>
            </w:tcBorders>
          </w:tcPr>
          <w:p>
            <w:pPr>
              <w:spacing w:after="0" w:line="20" w:lineRule="exact"/>
              <w:rPr>
                <w:sz w:val="1"/>
                <w:szCs w:val="1"/>
                <w:color w:val="auto"/>
              </w:rPr>
            </w:pPr>
          </w:p>
        </w:tc>
        <w:tc>
          <w:tcPr>
            <w:tcW w:w="140" w:type="dxa"/>
            <w:vAlign w:val="bottom"/>
            <w:tcBorders>
              <w:top w:val="single" w:sz="8" w:color="F8F4F1"/>
              <w:bottom w:val="single" w:sz="8" w:color="auto"/>
            </w:tcBorders>
          </w:tcPr>
          <w:p>
            <w:pPr>
              <w:spacing w:after="0" w:line="20" w:lineRule="exact"/>
              <w:rPr>
                <w:sz w:val="1"/>
                <w:szCs w:val="1"/>
                <w:color w:val="auto"/>
              </w:rPr>
            </w:pPr>
          </w:p>
        </w:tc>
        <w:tc>
          <w:tcPr>
            <w:tcW w:w="1440" w:type="dxa"/>
            <w:vAlign w:val="bottom"/>
            <w:tcBorders>
              <w:top w:val="single" w:sz="8" w:color="F8F4F1"/>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60" w:right="20" w:hanging="652"/>
        <w:spacing w:after="0" w:line="225"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Of the total amounts paid, approximately $6.5 million and $15.2 million relates to soft costs such as capitalized interest, payroll, and other property operating costs for the nine months ended September 30, 2026 and 2025, respectively.</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"Capital expenditures for redevelopment/renovations" during the nine months ended September 30, 2026 and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8"/>
          <w:szCs w:val="18"/>
          <w:color w:val="auto"/>
        </w:rPr>
        <w:t xml:space="preserve"> related to building upgrades, primarily to the lobbies and the addition of tenant amenities at certain of our buildings and assets under redevelopment.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capital expenditures, including building and tenant improvements" noted above includes all other capital expenditures during the period and are typically comprised of tenant and building improvements necessary to lease, maintain, or provide enhancements, including energy efficient equipment, to our existing portfolio of office projects.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that our operating model frequently results in leases for multiple blocks of space to credit-worthy tenants, our leasing success can result in capital outlays which vary from one reporting period to another based upon the specific leases executed. For leases executed during the nine months ended September 30, 2026, we committed to spend approximately $5.44 per square foot per year of lease term for tenant improvement allowances and lease commissions (net of expired lease commitments) as compared to $6.73 (net of expired lease commitments) for the nine months ended September 30, 2025. As of September 30, 2026, we had no individually significant unrecorded tenant allowance commitment greater than $10 million.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amounts that we have already committed to as a part of executed leases, we also anticipate continuing to incur similar market-based tenant improvement allowances and leasing commissions in conjunction with procuring future leases for our existing portfolio of properties. Both the timing and magnitude of expenditures related to future leasing activity can vary due to a number of factors and are highly dependent on the size of the leased square footage, length of the lease term, and the competitive market conditions of the particular office market at the time a lease is being negotiated, in addition to the impact of inflation and rising costs of construction.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reducing outstanding debt remains our priority, subject to the identification and availability of select investment opportunities and our ability to consummate such acquisitions on satisfactory terms, acquiring new assets consistent with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strategy could also be a significant use of capital. Additionally, we may use capital to repay debt when we deem it prudent to refinance or repay various obligations.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Finally, although we did not declare or pay dividends on our common stock during the nine months ended September 30, 2026, we may also use capital resources to pay dividends to our stockholders. The amount and form of payment (cash or stock issuance) of future dividends, if any, to be paid to our stockholders will continue to be largely dependent upon (i) the amount of cash generated from our operating activities; (ii) our expectations of future cash flows; (iii) our determination of near-term cash needs for debt repayments, development projects, and selective acquisitions of new properties; (iv) the timing of significant expenditures for tenant improvements, leasing commissions, building redevelopment projects, and general property improvements; (v) long-term dividend payout ratios for comparable companies; (vi) our ability to continue to access additional sources of capital, including potential sales of our properties; (vii) our desire to reduce overall leverage; and (viii) the amount required to be distributed to maintain our status as a REIT. With the fluctuating nature of cash flows and expenditures, we may periodically borrow funds on a short-term basis to cover timing differences in cash receipts and cash disbursements, including to pay dividends to our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applicable to common stockholders for the three months ended September 30, 2026 was approximately $21.0 million, or $0.17 per diluted share, as compared with net loss applicable to common stockholders of $13.5 million, or $0.11 per diluted share, for the three months ended September 30, 2025. The primary driver of the increase in net loss was an approximately $20.2 million loss on early extinguishment of debt recognized during the third quarter of 2026 related to the redemption of our remaining $600 Million Unsecured Senior Notes due 2028, partially offset by a $8.9 million gain recognized on the sale of a land parcel during the same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2026 versus the three months ended September 30,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from our consolidated statements of operations for the three months ended September 30, 2026 and 2025, respectively, as well as each balance as a percentage of total revenues for each period presented (dollars in millions):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140" w:type="dxa"/>
            <w:vAlign w:val="bottom"/>
          </w:tcPr>
          <w:p>
            <w:pPr>
              <w:spacing w:after="0"/>
              <w:rPr>
                <w:sz w:val="13"/>
                <w:szCs w:val="13"/>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3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9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4"/>
        </w:trPr>
        <w:tc>
          <w:tcPr>
            <w:tcW w:w="5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Rental and tenant reimbursement revenue</w:t>
            </w:r>
          </w:p>
        </w:tc>
        <w:tc>
          <w:tcPr>
            <w:tcW w:w="800" w:type="dxa"/>
            <w:vAlign w:val="bottom"/>
            <w:shd w:val="clear" w:color="auto" w:fill="F8F4F1"/>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144.2</w:t>
            </w:r>
          </w:p>
        </w:tc>
        <w:tc>
          <w:tcPr>
            <w:tcW w:w="12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40" w:type="dxa"/>
            <w:vAlign w:val="bottom"/>
            <w:gridSpan w:val="4"/>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management fee revenue</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 property related income</w:t>
            </w:r>
          </w:p>
        </w:tc>
        <w:tc>
          <w:tcPr>
            <w:tcW w:w="800" w:type="dxa"/>
            <w:vAlign w:val="bottom"/>
            <w:tcBorders>
              <w:bottom w:val="single" w:sz="8" w:color="auto"/>
            </w:tcBorders>
            <w:shd w:val="clear" w:color="auto" w:fill="F8F4F1"/>
          </w:tcPr>
          <w:p>
            <w:pPr>
              <w:spacing w:after="0"/>
              <w:rPr>
                <w:sz w:val="21"/>
                <w:szCs w:val="21"/>
                <w:color w:val="auto"/>
              </w:rPr>
            </w:pPr>
          </w:p>
        </w:tc>
        <w:tc>
          <w:tcPr>
            <w:tcW w:w="4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9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7"/>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80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08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9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costs</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800" w:type="dxa"/>
            <w:vAlign w:val="bottom"/>
            <w:shd w:val="clear" w:color="auto" w:fill="F8F4F1"/>
          </w:tcPr>
          <w:p>
            <w:pPr>
              <w:spacing w:after="0"/>
              <w:rPr>
                <w:sz w:val="21"/>
                <w:szCs w:val="21"/>
                <w:color w:val="auto"/>
              </w:rPr>
            </w:pPr>
          </w:p>
        </w:tc>
        <w:tc>
          <w:tcPr>
            <w:tcW w:w="4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16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14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9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shd w:val="clear" w:color="auto" w:fill="F8F4F1"/>
          </w:tcPr>
          <w:p>
            <w:pPr>
              <w:spacing w:after="0"/>
              <w:rPr>
                <w:sz w:val="21"/>
                <w:szCs w:val="21"/>
                <w:color w:val="auto"/>
              </w:rPr>
            </w:pPr>
          </w:p>
        </w:tc>
        <w:tc>
          <w:tcPr>
            <w:tcW w:w="4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16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4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9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6"/>
        </w:trPr>
        <w:tc>
          <w:tcPr>
            <w:tcW w:w="5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129.3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08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0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9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shd w:val="clear" w:color="auto" w:fill="F8F4F1"/>
          </w:tcPr>
          <w:p>
            <w:pPr>
              <w:spacing w:after="0"/>
              <w:rPr>
                <w:sz w:val="21"/>
                <w:szCs w:val="21"/>
                <w:color w:val="auto"/>
              </w:rPr>
            </w:pPr>
          </w:p>
        </w:tc>
        <w:tc>
          <w:tcPr>
            <w:tcW w:w="4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shd w:val="clear" w:color="auto" w:fill="F8F4F1"/>
          </w:tcPr>
          <w:p>
            <w:pPr>
              <w:spacing w:after="0"/>
              <w:rPr>
                <w:sz w:val="21"/>
                <w:szCs w:val="21"/>
                <w:color w:val="auto"/>
              </w:rPr>
            </w:pPr>
          </w:p>
        </w:tc>
        <w:tc>
          <w:tcPr>
            <w:tcW w:w="1140" w:type="dxa"/>
            <w:vAlign w:val="bottom"/>
            <w:gridSpan w:val="2"/>
            <w:shd w:val="clear" w:color="auto" w:fill="F8F4F1"/>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F8F4F1"/>
          </w:tcPr>
          <w:p>
            <w:pPr>
              <w:spacing w:after="0"/>
              <w:rPr>
                <w:sz w:val="21"/>
                <w:szCs w:val="21"/>
                <w:color w:val="auto"/>
              </w:rPr>
            </w:pPr>
          </w:p>
        </w:tc>
        <w:tc>
          <w:tcPr>
            <w:tcW w:w="10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F8F4F1"/>
          </w:tcPr>
          <w:p>
            <w:pPr>
              <w:spacing w:after="0"/>
              <w:rPr>
                <w:sz w:val="21"/>
                <w:szCs w:val="21"/>
                <w:color w:val="auto"/>
              </w:rPr>
            </w:pPr>
          </w:p>
        </w:tc>
        <w:tc>
          <w:tcPr>
            <w:tcW w:w="1340" w:type="dxa"/>
            <w:vAlign w:val="bottom"/>
            <w:gridSpan w:val="3"/>
            <w:shd w:val="clear" w:color="auto" w:fill="F8F4F1"/>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51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800" w:type="dxa"/>
            <w:vAlign w:val="bottom"/>
            <w:tcBorders>
              <w:bottom w:val="single" w:sz="8" w:color="auto"/>
            </w:tcBorders>
            <w:shd w:val="clear" w:color="auto" w:fill="F8F4F1"/>
          </w:tcPr>
          <w:p>
            <w:pPr>
              <w:spacing w:after="0"/>
              <w:rPr>
                <w:sz w:val="21"/>
                <w:szCs w:val="21"/>
                <w:color w:val="auto"/>
              </w:rPr>
            </w:pPr>
          </w:p>
        </w:tc>
        <w:tc>
          <w:tcPr>
            <w:tcW w:w="4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16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F8F4F1"/>
          </w:tcPr>
          <w:p>
            <w:pPr>
              <w:spacing w:after="0"/>
              <w:rPr>
                <w:sz w:val="21"/>
                <w:szCs w:val="21"/>
                <w:color w:val="auto"/>
              </w:rPr>
            </w:pPr>
          </w:p>
        </w:tc>
        <w:tc>
          <w:tcPr>
            <w:tcW w:w="116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shd w:val="clear" w:color="auto" w:fill="F8F4F1"/>
          </w:tcPr>
          <w:p>
            <w:pPr>
              <w:spacing w:after="0"/>
              <w:rPr>
                <w:sz w:val="21"/>
                <w:szCs w:val="21"/>
                <w:color w:val="auto"/>
              </w:rPr>
            </w:pPr>
          </w:p>
        </w:tc>
        <w:tc>
          <w:tcPr>
            <w:tcW w:w="9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Rental and tenant reimbursement revenue increased approximately $11.2 million for the three months ended September 30, 2026, as compared to the same period in the prior year. The increase was primarily due to the roll-up of rental rates and new leases commencing during the twelve months ended September 30, 2026, contributing approximately $10.8 million, as well as the addition of the 4075 Wilson Boulevard building purchased in September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property related income increased approximately $0.9 million for the three months ended September 30, 2026 as compared to the same period in the prior year primarily due to increased parking income associated with increased utilization and higher transient parking at our office projects during the current period, as compared to the prior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operating costs increased approximately $4.1 million for the three months ended September 30, 2026 as compared to the same period in the prior year. The increase was primarily due to higher recoverable property taxes, repairs and maintenance, janitorial expenses, and tenant-specific services during the current period, as compared to the prior period.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increased approximately $4.0 million for the three months ended September 30, 2026 as compared to the same period in the prior year. The increase was primarily due to additional building improvements placed in service subsequent to July 1,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decreased approximately $1.1 million for the three months ended September 30, 2026 as compared to the same period in the prior year. The decrease was primarily due to amortization expense associated with certain lease intangible assets at our existing projects becoming fully amortized subsequent to July 1, 2025. The decrease was partially offset by an increase in amortization expense associated with deferred lease acquisition costs due to increased new leasing activity during the twelve months ended September 30,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approximately $1.5 million for the three months ended September 30, 2026 as compared to the same period in the prior year, primarily due to increased accruals for potential performance-based compensation during the three months ended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we redeemed our remaining $600 Million Unsecured Senior Notes due 2028. The premium paid to redeem the debt, as well as the write-off of the pro-rata share of unamortized debt issuance costs, resulted in the recognition of a $20.2 million loss on early extinguishment of debt.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on sale of real estate assets during the three months ended September 30, 2026 primarily consists of the gain recognized on the sale of the Royal Lane land parcel in Dallas, Texas, which closed in August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Versus the Nine Months Ended September 30, 2025</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data from our consolidated statements of operations for the nine months ended September 30, 2026 and 2025, respectively, as well as each balance as a percentage of total revenues for each period presented (dollars in millions):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4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4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9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4"/>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Rental and tenant reimbursement revenue</w:t>
            </w: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417.9</w:t>
            </w:r>
          </w:p>
        </w:tc>
        <w:tc>
          <w:tcPr>
            <w:tcW w:w="1500" w:type="dxa"/>
            <w:vAlign w:val="bottom"/>
            <w:gridSpan w:val="4"/>
            <w:shd w:val="clear" w:color="auto" w:fill="F8F4F1"/>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520" w:type="dxa"/>
            <w:vAlign w:val="bottom"/>
            <w:gridSpan w:val="4"/>
            <w:shd w:val="clear" w:color="auto" w:fill="F8F4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management fee revenue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 property related income</w:t>
            </w:r>
          </w:p>
        </w:tc>
        <w:tc>
          <w:tcPr>
            <w:tcW w:w="160" w:type="dxa"/>
            <w:vAlign w:val="bottom"/>
            <w:tcBorders>
              <w:bottom w:val="single" w:sz="8" w:color="auto"/>
            </w:tcBorders>
            <w:shd w:val="clear" w:color="auto" w:fill="F8F4F1"/>
          </w:tcPr>
          <w:p>
            <w:pPr>
              <w:spacing w:after="0"/>
              <w:rPr>
                <w:sz w:val="21"/>
                <w:szCs w:val="21"/>
                <w:color w:val="auto"/>
              </w:rPr>
            </w:pPr>
          </w:p>
        </w:tc>
        <w:tc>
          <w:tcPr>
            <w:tcW w:w="11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shd w:val="clear" w:color="auto" w:fill="F8F4F1"/>
          </w:tcPr>
          <w:p>
            <w:pPr>
              <w:spacing w:after="0"/>
              <w:rPr>
                <w:sz w:val="21"/>
                <w:szCs w:val="21"/>
                <w:color w:val="auto"/>
              </w:rPr>
            </w:pPr>
          </w:p>
        </w:tc>
        <w:tc>
          <w:tcPr>
            <w:tcW w:w="116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9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60" w:type="dxa"/>
            <w:vAlign w:val="bottom"/>
            <w:shd w:val="clear" w:color="auto" w:fill="F8F4F1"/>
          </w:tcPr>
          <w:p>
            <w:pPr>
              <w:spacing w:after="0"/>
              <w:rPr>
                <w:sz w:val="21"/>
                <w:szCs w:val="21"/>
                <w:color w:val="auto"/>
              </w:rPr>
            </w:pPr>
          </w:p>
        </w:tc>
        <w:tc>
          <w:tcPr>
            <w:tcW w:w="112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16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06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9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operating costs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F8F4F1"/>
          </w:tcPr>
          <w:p>
            <w:pPr>
              <w:spacing w:after="0"/>
              <w:rPr>
                <w:sz w:val="21"/>
                <w:szCs w:val="21"/>
                <w:color w:val="auto"/>
              </w:rPr>
            </w:pPr>
          </w:p>
        </w:tc>
        <w:tc>
          <w:tcPr>
            <w:tcW w:w="1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126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0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2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9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F8F4F1"/>
          </w:tcPr>
          <w:p>
            <w:pPr>
              <w:spacing w:after="0"/>
              <w:rPr>
                <w:sz w:val="21"/>
                <w:szCs w:val="21"/>
                <w:color w:val="auto"/>
              </w:rPr>
            </w:pPr>
          </w:p>
        </w:tc>
        <w:tc>
          <w:tcPr>
            <w:tcW w:w="11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26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2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9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shd w:val="clear" w:color="auto" w:fill="F8F4F1"/>
          </w:tcPr>
          <w:p>
            <w:pPr>
              <w:spacing w:after="0"/>
              <w:rPr>
                <w:sz w:val="21"/>
                <w:szCs w:val="21"/>
                <w:color w:val="auto"/>
              </w:rPr>
            </w:pPr>
          </w:p>
        </w:tc>
        <w:tc>
          <w:tcPr>
            <w:tcW w:w="112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160" w:type="dxa"/>
            <w:vAlign w:val="bottom"/>
            <w:shd w:val="clear" w:color="auto" w:fill="F8F4F1"/>
          </w:tcPr>
          <w:p>
            <w:pPr>
              <w:spacing w:after="0"/>
              <w:rPr>
                <w:sz w:val="21"/>
                <w:szCs w:val="21"/>
                <w:color w:val="auto"/>
              </w:rPr>
            </w:pPr>
          </w:p>
        </w:tc>
        <w:tc>
          <w:tcPr>
            <w:tcW w:w="10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06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1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900" w:type="dxa"/>
            <w:vAlign w:val="bottom"/>
            <w:shd w:val="clear" w:color="auto" w:fill="F8F4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F8F4F1"/>
          </w:tcPr>
          <w:p>
            <w:pPr>
              <w:spacing w:after="0"/>
              <w:rPr>
                <w:sz w:val="21"/>
                <w:szCs w:val="21"/>
                <w:color w:val="auto"/>
              </w:rPr>
            </w:pPr>
          </w:p>
        </w:tc>
        <w:tc>
          <w:tcPr>
            <w:tcW w:w="1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F8F4F1"/>
          </w:tcPr>
          <w:p>
            <w:pPr>
              <w:spacing w:after="0"/>
              <w:rPr>
                <w:sz w:val="21"/>
                <w:szCs w:val="21"/>
                <w:color w:val="auto"/>
              </w:rPr>
            </w:pPr>
          </w:p>
        </w:tc>
        <w:tc>
          <w:tcPr>
            <w:tcW w:w="1400" w:type="dxa"/>
            <w:vAlign w:val="bottom"/>
            <w:gridSpan w:val="3"/>
            <w:shd w:val="clear" w:color="auto" w:fill="F8F4F1"/>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F8F4F1"/>
          </w:tcPr>
          <w:p>
            <w:pPr>
              <w:spacing w:after="0"/>
              <w:rPr>
                <w:sz w:val="21"/>
                <w:szCs w:val="21"/>
                <w:color w:val="auto"/>
              </w:rPr>
            </w:pPr>
          </w:p>
        </w:tc>
        <w:tc>
          <w:tcPr>
            <w:tcW w:w="1400" w:type="dxa"/>
            <w:vAlign w:val="bottom"/>
            <w:gridSpan w:val="3"/>
            <w:shd w:val="clear" w:color="auto" w:fill="F8F4F1"/>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3"/>
        </w:trPr>
        <w:tc>
          <w:tcPr>
            <w:tcW w:w="49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160" w:type="dxa"/>
            <w:vAlign w:val="bottom"/>
            <w:tcBorders>
              <w:bottom w:val="single" w:sz="8" w:color="auto"/>
            </w:tcBorders>
            <w:shd w:val="clear" w:color="auto" w:fill="F8F4F1"/>
          </w:tcPr>
          <w:p>
            <w:pPr>
              <w:spacing w:after="0"/>
              <w:rPr>
                <w:sz w:val="21"/>
                <w:szCs w:val="21"/>
                <w:color w:val="auto"/>
              </w:rPr>
            </w:pPr>
          </w:p>
        </w:tc>
        <w:tc>
          <w:tcPr>
            <w:tcW w:w="11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260" w:type="dxa"/>
            <w:vAlign w:val="bottom"/>
            <w:gridSpan w:val="2"/>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0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F8F4F1"/>
          </w:tcPr>
          <w:p>
            <w:pPr>
              <w:spacing w:after="0"/>
              <w:rPr>
                <w:sz w:val="21"/>
                <w:szCs w:val="21"/>
                <w:color w:val="auto"/>
              </w:rPr>
            </w:pPr>
          </w:p>
        </w:tc>
        <w:tc>
          <w:tcPr>
            <w:tcW w:w="1220" w:type="dxa"/>
            <w:vAlign w:val="bottom"/>
            <w:gridSpan w:val="2"/>
            <w:shd w:val="clear" w:color="auto" w:fill="F8F4F1"/>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shd w:val="clear" w:color="auto" w:fill="F8F4F1"/>
          </w:tcPr>
          <w:p>
            <w:pPr>
              <w:spacing w:after="0"/>
              <w:rPr>
                <w:sz w:val="21"/>
                <w:szCs w:val="21"/>
                <w:color w:val="auto"/>
              </w:rPr>
            </w:pPr>
          </w:p>
        </w:tc>
        <w:tc>
          <w:tcPr>
            <w:tcW w:w="9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Rental and tenant reimbursement revenue increased approximately $14.9 million for the nine months ended September 30, 2026 as compared to the same period in the prior year. The increase was primarily due to the roll-up of rental rates and new leases commencing during the twelve months ended September 30, 2026, contributing approximately $18.0 million. The impact of this increase was partially offset by the disposition of two projects subsequent to January 1,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property related income increased approximately $1.5 million for the nine months ended September 30, 2026 as compared to the same period in the prior year primarily due to increased parking income associated with increased utilization and higher transient parking at our office projects during the current period, as compared to the prior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operating costs increased approximately $3.9 million for the nine months ended September 30, 2026 as compared to the same period in the prior year. The increase was primarily due to higher recoverable property taxes, repairs and maintenance, janitorial expenses, and utilities during the current period, as compared to the prior period. These increases were partially offset by project dispositions subsequent to January 1, 2025 (as discussed above).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increased approximately $11.3 million for the nine months ended September 30, 2026 as compared to the same period in the prior year. The increase was primarily due to additional building and tenant improvements placed in service subsequent to January 1, 2025, which were partially offset by project dispositions during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decreased approximately $1.6 million for the nine months ended September 30, 2026 as compared to the same period in the prior year. The decrease in amortization expense is associated with certain lease intangible assets at our existing projects becoming fully amortized subsequent to January 1, 2025. The decrease was largely offset by an increase in amortization expense associated with deferred lease acquisition costs due to increased new leasing activity during the twelve months ended September 30,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increased approximately $2.1 million for the nine months ended September 30, 2026</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prior year due to increased accruals for potential performance-based compensation during the nine months ended September 30,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we redeemed our remaining $600 Million Unsecured Senior Notes due 2028. The premium paid to redeem the debt, as well as the write-off of the pro-rata share of unamortized debt issuance costs, resulted in the recognition of a $20.2 million loss on early extinguishment of debt. Loss on early extinguishment of debt during the nine months ended September 30, 2025 primarily related to the repurchase of approximately $67.5 million of the aggregate principal amount of the $600 Million Unsecured Senior Notes due 2028. The premium paid to repurchase the debt, as well as the write-off of the pro-rata share of unamortized debt issuance costs, resulted in the recognition of a $7.5 million loss on early extinguishment of debt.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on sale of real estate assets during the nine months ended September 30, 2026 primarily consists of the gain recognized on the sale of the Royal Lane land parcel in Dallas, Texas, which closed in August 2026. Gain on sale of real estate assets during the nine months ended September 30, 2025 primarily consists of the gain recognized on the sale of the 80 and 90 Central project in Boston, Massachusetts, which closed in May of 2025, as well as recognition of the return of amounts held in escrow for the 750 West John Carpenter building sold in July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and Guarantor Financial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2026, Piedmont, through its wholly-owned subsidiary Piedmont OP, had four separate issuances of senior unsecured notes payable outstanding that mature in 2029, 2030, 2032 and 2033 in an aggregate principal amount of approximately $1.4 billion, and one issuance of Exchangeable Senior Notes payable outstanding that matures in 2031 in an aggregate principal amount of $230 million (collectively, the "Notes")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our accompanying consolidated financial statements for additional details regarding each of these issuances). The Notes are senior unsecured obligations of Piedmont OP, rank equally in right of payment with all of Piedmont OP's other existing and future senior unsecured indebtedness, and would be effectively subordinated in right of payment to any of Piedmont OP’s existing or future mortgage or other secured indebtedness (to the extent of the value of the collateral securing such indebtedness) and to all existing and future indebtedness and other liabilities of Piedmont OP’s subsidiaries, whether secured or unsecured.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are fully and unconditionally guaranteed by Piedmont, the parent entity that consolidates Piedmont OP and all other subsidiaries. In particular, Piedmont guarantees to each holder of the Notes that the principal and interest on the Notes will be paid in full when due, whether at the maturity dates of the respective loans, or upon acceleration, upon redemption, or otherwise; interest on overdue principal and interest on any overdue interest, if any, on the Notes will also be paid in full when due; and all other obligations of Piedmont OP to the holders of the Notes will be promptly paid in full. Piedmont's guarantee of the Notes is its senior unsecured obligation and ranks equally in right of payment with all of Piedmont's other existing and future senior unsecured indebtedness and guarantees. Piedmont’s guarantee of the Notes is effectively subordinated in right of payment to any future mortgage or other secured indebtedness or secured guarantees of Piedmont (to the extent of the value of the collateral securing such indebtedness and guarantees); and all existing and future indebtedness and other liabilities, whether secured or unsecured, of Piedmont’s subsidiaries.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the bankruptcy, liquidation, reorganization or other winding up of Piedmont OP or Piedmont, assets that secure any of their respective secured indebtedness and other secured obligations will be available to pay their respective obligations under the Notes or the guarantee, as applicable, and their other respective unsecured indebtedness and other unsecured obligations only after all of their respective indebtedness and other obligations secured by those assets have been repaid in full.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non-guarantor subsidiaries are separate and distinct legal entities and have no obligation, contingent or otherwise, to pay any amounts due pursuant to the Notes, or to make any funds available therefor, whether by dividends, loans, distributions or other payments.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13-01 of Regulation S-X, Guarantors and Issuers of Guaranteed Securities Registered or Being Registered, the following tables present summarized financial information for Piedmont OP as issuer and Piedmont as guarantor on a combined basis after elimination of (i) intercompany transactions and balances among Piedmont OP and Piedmont and (ii) equity in earnings from and investments in any subsidiary that is a non-guarantor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Balances of Piedmont OP and Piedmont Realty Trust, Inc. as Issuer and Guarantor,</w:t>
            </w:r>
          </w:p>
        </w:tc>
        <w:tc>
          <w:tcPr>
            <w:tcW w:w="14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8"/>
                <w:szCs w:val="18"/>
                <w:color w:val="auto"/>
              </w:rPr>
            </w:pPr>
          </w:p>
        </w:tc>
        <w:tc>
          <w:tcPr>
            <w:tcW w:w="1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respectively</w:t>
            </w:r>
          </w:p>
        </w:tc>
        <w:tc>
          <w:tcPr>
            <w:tcW w:w="140" w:type="dxa"/>
            <w:vAlign w:val="bottom"/>
          </w:tcPr>
          <w:p>
            <w:pPr>
              <w:spacing w:after="0"/>
              <w:rPr>
                <w:sz w:val="19"/>
                <w:szCs w:val="19"/>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0"/>
        </w:trPr>
        <w:tc>
          <w:tcPr>
            <w:tcW w:w="75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r>
      <w:tr>
        <w:trPr>
          <w:trHeight w:val="243"/>
        </w:trPr>
        <w:tc>
          <w:tcPr>
            <w:tcW w:w="75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Due from non-guarantor subsidiary</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240" w:type="dxa"/>
            <w:vAlign w:val="bottom"/>
            <w:shd w:val="clear" w:color="auto" w:fill="F8F4F1"/>
          </w:tcPr>
          <w:p>
            <w:pPr>
              <w:spacing w:after="0"/>
              <w:rPr>
                <w:sz w:val="21"/>
                <w:szCs w:val="21"/>
                <w:color w:val="auto"/>
              </w:rPr>
            </w:pP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238,870</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240,324</w:t>
            </w:r>
          </w:p>
        </w:tc>
      </w:tr>
      <w:tr>
        <w:trPr>
          <w:trHeight w:val="243"/>
        </w:trPr>
        <w:tc>
          <w:tcPr>
            <w:tcW w:w="75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2,185,145</w:t>
            </w:r>
          </w:p>
        </w:tc>
        <w:tc>
          <w:tcPr>
            <w:tcW w:w="240" w:type="dxa"/>
            <w:vAlign w:val="bottom"/>
            <w:shd w:val="clear" w:color="auto" w:fill="F8F4F1"/>
          </w:tcPr>
          <w:p>
            <w:pPr>
              <w:spacing w:after="0"/>
              <w:rPr>
                <w:sz w:val="21"/>
                <w:szCs w:val="21"/>
                <w:color w:val="auto"/>
              </w:rPr>
            </w:pP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2,085,214</w:t>
            </w:r>
          </w:p>
        </w:tc>
      </w:tr>
      <w:tr>
        <w:trPr>
          <w:trHeight w:val="205"/>
        </w:trPr>
        <w:tc>
          <w:tcPr>
            <w:tcW w:w="7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5"/>
        </w:trPr>
        <w:tc>
          <w:tcPr>
            <w:tcW w:w="7500" w:type="dxa"/>
            <w:vAlign w:val="bottom"/>
            <w:tcBorders>
              <w:bottom w:val="single" w:sz="8" w:color="F8F4F1"/>
            </w:tcBorders>
          </w:tcPr>
          <w:p>
            <w:pPr>
              <w:spacing w:after="0"/>
              <w:rPr>
                <w:sz w:val="16"/>
                <w:szCs w:val="16"/>
                <w:color w:val="auto"/>
              </w:rPr>
            </w:pPr>
          </w:p>
        </w:tc>
        <w:tc>
          <w:tcPr>
            <w:tcW w:w="140" w:type="dxa"/>
            <w:vAlign w:val="bottom"/>
            <w:tcBorders>
              <w:bottom w:val="single" w:sz="8" w:color="F8F4F1"/>
            </w:tcBorders>
          </w:tcPr>
          <w:p>
            <w:pPr>
              <w:spacing w:after="0"/>
              <w:rPr>
                <w:sz w:val="16"/>
                <w:szCs w:val="16"/>
                <w:color w:val="auto"/>
              </w:rPr>
            </w:pPr>
          </w:p>
        </w:tc>
        <w:tc>
          <w:tcPr>
            <w:tcW w:w="1420" w:type="dxa"/>
            <w:vAlign w:val="bottom"/>
            <w:tcBorders>
              <w:bottom w:val="single" w:sz="8" w:color="F8F4F1"/>
            </w:tcBorders>
          </w:tcPr>
          <w:p>
            <w:pPr>
              <w:spacing w:after="0"/>
              <w:rPr>
                <w:sz w:val="16"/>
                <w:szCs w:val="16"/>
                <w:color w:val="auto"/>
              </w:rPr>
            </w:pPr>
          </w:p>
        </w:tc>
        <w:tc>
          <w:tcPr>
            <w:tcW w:w="240" w:type="dxa"/>
            <w:vAlign w:val="bottom"/>
            <w:tcBorders>
              <w:bottom w:val="single" w:sz="8" w:color="F8F4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42"/>
        </w:trPr>
        <w:tc>
          <w:tcPr>
            <w:tcW w:w="750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F8F4F1"/>
          </w:tcPr>
          <w:p>
            <w:pPr>
              <w:spacing w:after="0"/>
              <w:rPr>
                <w:sz w:val="21"/>
                <w:szCs w:val="21"/>
                <w:color w:val="auto"/>
              </w:rPr>
            </w:pPr>
          </w:p>
        </w:tc>
        <w:tc>
          <w:tcPr>
            <w:tcW w:w="1420" w:type="dxa"/>
            <w:vAlign w:val="bottom"/>
            <w:shd w:val="clear" w:color="auto" w:fill="F8F4F1"/>
          </w:tcPr>
          <w:p>
            <w:pPr>
              <w:spacing w:after="0"/>
              <w:rPr>
                <w:sz w:val="21"/>
                <w:szCs w:val="21"/>
                <w:color w:val="auto"/>
              </w:rPr>
            </w:pPr>
          </w:p>
        </w:tc>
        <w:tc>
          <w:tcPr>
            <w:tcW w:w="240" w:type="dxa"/>
            <w:vAlign w:val="bottom"/>
            <w:shd w:val="clear" w:color="auto" w:fill="F8F4F1"/>
          </w:tcPr>
          <w:p>
            <w:pPr>
              <w:spacing w:after="0"/>
              <w:rPr>
                <w:sz w:val="21"/>
                <w:szCs w:val="21"/>
                <w:color w:val="auto"/>
              </w:rPr>
            </w:pPr>
          </w:p>
        </w:tc>
        <w:tc>
          <w:tcPr>
            <w:tcW w:w="1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34,776</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Income by Geographic Segment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President and Chief Executive Officer is our CODM, who evaluates our portfolio and assesses the ongoing operations and performance of our projects utilizing the following geographic segments: Atlanta, Dallas, Orlando, Northern Virginia/Washington, D.C., Minneapolis, New York, and Boston. These operating segments are also our reportable segments. Additionally, as of September 30, 2026, we owned two properties in Houston that did not meet the definition of an operating or reportable segment as the CODM does not regularly review these properties for purposes of allocating resources or assessing performance, and we do not maintain a significant presence or anticipate further investment in this market. These two properties are included in "Other" below.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accompanying consolidated financial statements for additional information and a reconciliation of Net loss applicable to Piedmont to NOI.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NOI by geographic segment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360" w:type="dxa"/>
            <w:vAlign w:val="bottom"/>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6"/>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240" w:type="dxa"/>
            <w:vAlign w:val="bottom"/>
            <w:tcBorders>
              <w:bottom w:val="single" w:sz="8" w:color="F8F4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F8F4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F8F4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F8F4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Atlanta</w:t>
            </w: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30,842</w:t>
            </w:r>
          </w:p>
        </w:tc>
        <w:tc>
          <w:tcPr>
            <w:tcW w:w="100" w:type="dxa"/>
            <w:vAlign w:val="bottom"/>
            <w:shd w:val="clear" w:color="auto" w:fill="F8F4F1"/>
          </w:tcPr>
          <w:p>
            <w:pPr>
              <w:spacing w:after="0"/>
              <w:rPr>
                <w:sz w:val="20"/>
                <w:szCs w:val="20"/>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29,035</w:t>
            </w:r>
          </w:p>
        </w:tc>
        <w:tc>
          <w:tcPr>
            <w:tcW w:w="120" w:type="dxa"/>
            <w:vAlign w:val="bottom"/>
            <w:shd w:val="clear" w:color="auto" w:fill="F8F4F1"/>
          </w:tcPr>
          <w:p>
            <w:pPr>
              <w:spacing w:after="0"/>
              <w:rPr>
                <w:sz w:val="20"/>
                <w:szCs w:val="20"/>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91,993</w:t>
            </w:r>
          </w:p>
        </w:tc>
        <w:tc>
          <w:tcPr>
            <w:tcW w:w="120" w:type="dxa"/>
            <w:vAlign w:val="bottom"/>
            <w:shd w:val="clear" w:color="auto" w:fill="F8F4F1"/>
          </w:tcPr>
          <w:p>
            <w:pPr>
              <w:spacing w:after="0"/>
              <w:rPr>
                <w:sz w:val="20"/>
                <w:szCs w:val="20"/>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87,077</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Dallas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47,152</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Orlando</w:t>
            </w:r>
          </w:p>
        </w:tc>
        <w:tc>
          <w:tcPr>
            <w:tcW w:w="160" w:type="dxa"/>
            <w:vAlign w:val="bottom"/>
            <w:shd w:val="clear" w:color="auto" w:fill="F8F4F1"/>
          </w:tcPr>
          <w:p>
            <w:pPr>
              <w:spacing w:after="0"/>
              <w:rPr>
                <w:sz w:val="21"/>
                <w:szCs w:val="21"/>
                <w:color w:val="auto"/>
              </w:rPr>
            </w:pPr>
          </w:p>
        </w:tc>
        <w:tc>
          <w:tcPr>
            <w:tcW w:w="14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11,911</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4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35,653</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5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26,686</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Virginia/Washington, D.C.</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21,371</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shd w:val="clear" w:color="auto" w:fill="F8F4F1"/>
          </w:tcPr>
          <w:p>
            <w:pPr>
              <w:spacing w:after="0"/>
              <w:rPr>
                <w:sz w:val="21"/>
                <w:szCs w:val="21"/>
                <w:color w:val="auto"/>
              </w:rPr>
            </w:pPr>
          </w:p>
        </w:tc>
        <w:tc>
          <w:tcPr>
            <w:tcW w:w="14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9,568</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5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4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24,819</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5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23,559</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Minneapolis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18,095</w:t>
            </w:r>
          </w:p>
        </w:tc>
      </w:tr>
      <w:tr>
        <w:trPr>
          <w:trHeight w:val="243"/>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160" w:type="dxa"/>
            <w:vAlign w:val="bottom"/>
            <w:tcBorders>
              <w:bottom w:val="single" w:sz="8" w:color="auto"/>
            </w:tcBorders>
            <w:shd w:val="clear" w:color="auto" w:fill="F8F4F1"/>
          </w:tcPr>
          <w:p>
            <w:pPr>
              <w:spacing w:after="0"/>
              <w:rPr>
                <w:sz w:val="21"/>
                <w:szCs w:val="21"/>
                <w:color w:val="auto"/>
              </w:rPr>
            </w:pPr>
          </w:p>
        </w:tc>
        <w:tc>
          <w:tcPr>
            <w:tcW w:w="14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6,246</w:t>
            </w:r>
          </w:p>
        </w:tc>
        <w:tc>
          <w:tcPr>
            <w:tcW w:w="10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20" w:type="dxa"/>
            <w:vAlign w:val="bottom"/>
            <w:shd w:val="clear" w:color="auto" w:fill="F8F4F1"/>
          </w:tcPr>
          <w:p>
            <w:pPr>
              <w:spacing w:after="0"/>
              <w:rPr>
                <w:sz w:val="21"/>
                <w:szCs w:val="21"/>
                <w:color w:val="auto"/>
              </w:rPr>
            </w:pPr>
          </w:p>
        </w:tc>
        <w:tc>
          <w:tcPr>
            <w:tcW w:w="160" w:type="dxa"/>
            <w:vAlign w:val="bottom"/>
            <w:tcBorders>
              <w:bottom w:val="single" w:sz="8" w:color="auto"/>
            </w:tcBorders>
            <w:shd w:val="clear" w:color="auto" w:fill="F8F4F1"/>
          </w:tcPr>
          <w:p>
            <w:pPr>
              <w:spacing w:after="0"/>
              <w:rPr>
                <w:sz w:val="21"/>
                <w:szCs w:val="21"/>
                <w:color w:val="auto"/>
              </w:rPr>
            </w:pPr>
          </w:p>
        </w:tc>
        <w:tc>
          <w:tcPr>
            <w:tcW w:w="14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18,559</w:t>
            </w: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15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19,638</w:t>
            </w:r>
          </w:p>
        </w:tc>
      </w:tr>
      <w:tr>
        <w:trPr>
          <w:trHeight w:val="237"/>
        </w:trPr>
        <w:tc>
          <w:tcPr>
            <w:tcW w:w="4240" w:type="dxa"/>
            <w:vAlign w:val="bottom"/>
            <w:tcBorders>
              <w:bottom w:val="single" w:sz="8" w:color="F8F4F1"/>
            </w:tcBorders>
          </w:tcPr>
          <w:p>
            <w:pPr>
              <w:ind w:left="18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88,769</w:t>
            </w:r>
          </w:p>
        </w:tc>
        <w:tc>
          <w:tcPr>
            <w:tcW w:w="100" w:type="dxa"/>
            <w:vAlign w:val="bottom"/>
            <w:tcBorders>
              <w:bottom w:val="single" w:sz="8" w:color="F8F4F1"/>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80,248</w:t>
            </w:r>
          </w:p>
        </w:tc>
        <w:tc>
          <w:tcPr>
            <w:tcW w:w="120" w:type="dxa"/>
            <w:vAlign w:val="bottom"/>
            <w:tcBorders>
              <w:bottom w:val="single" w:sz="8" w:color="F8F4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256,665</w:t>
            </w:r>
          </w:p>
        </w:tc>
        <w:tc>
          <w:tcPr>
            <w:tcW w:w="120" w:type="dxa"/>
            <w:vAlign w:val="bottom"/>
            <w:tcBorders>
              <w:bottom w:val="single" w:sz="8" w:color="F8F4F1"/>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243,578</w:t>
            </w:r>
          </w:p>
        </w:tc>
      </w:tr>
      <w:tr>
        <w:trPr>
          <w:trHeight w:val="237"/>
        </w:trPr>
        <w:tc>
          <w:tcPr>
            <w:tcW w:w="424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F8F4F1"/>
          </w:tcPr>
          <w:p>
            <w:pPr>
              <w:spacing w:after="0"/>
              <w:rPr>
                <w:sz w:val="20"/>
                <w:szCs w:val="20"/>
                <w:color w:val="auto"/>
              </w:rPr>
            </w:pPr>
          </w:p>
        </w:tc>
        <w:tc>
          <w:tcPr>
            <w:tcW w:w="14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2,379</w:t>
            </w:r>
          </w:p>
        </w:tc>
        <w:tc>
          <w:tcPr>
            <w:tcW w:w="100" w:type="dxa"/>
            <w:vAlign w:val="bottom"/>
            <w:shd w:val="clear" w:color="auto" w:fill="F8F4F1"/>
          </w:tcPr>
          <w:p>
            <w:pPr>
              <w:spacing w:after="0"/>
              <w:rPr>
                <w:sz w:val="20"/>
                <w:szCs w:val="20"/>
                <w:color w:val="auto"/>
              </w:rPr>
            </w:pPr>
          </w:p>
        </w:tc>
        <w:tc>
          <w:tcPr>
            <w:tcW w:w="180" w:type="dxa"/>
            <w:vAlign w:val="bottom"/>
            <w:tcBorders>
              <w:bottom w:val="single" w:sz="8" w:color="auto"/>
            </w:tcBorders>
            <w:shd w:val="clear" w:color="auto" w:fill="F8F4F1"/>
          </w:tcPr>
          <w:p>
            <w:pPr>
              <w:spacing w:after="0"/>
              <w:rPr>
                <w:sz w:val="20"/>
                <w:szCs w:val="20"/>
                <w:color w:val="auto"/>
              </w:rPr>
            </w:pPr>
          </w:p>
        </w:tc>
        <w:tc>
          <w:tcPr>
            <w:tcW w:w="15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shd w:val="clear" w:color="auto" w:fill="F8F4F1"/>
          </w:tcPr>
          <w:p>
            <w:pPr>
              <w:spacing w:after="0"/>
              <w:rPr>
                <w:sz w:val="20"/>
                <w:szCs w:val="20"/>
                <w:color w:val="auto"/>
              </w:rPr>
            </w:pPr>
          </w:p>
        </w:tc>
        <w:tc>
          <w:tcPr>
            <w:tcW w:w="160" w:type="dxa"/>
            <w:vAlign w:val="bottom"/>
            <w:tcBorders>
              <w:bottom w:val="single" w:sz="8" w:color="auto"/>
            </w:tcBorders>
            <w:shd w:val="clear" w:color="auto" w:fill="F8F4F1"/>
          </w:tcPr>
          <w:p>
            <w:pPr>
              <w:spacing w:after="0"/>
              <w:rPr>
                <w:sz w:val="20"/>
                <w:szCs w:val="20"/>
                <w:color w:val="auto"/>
              </w:rPr>
            </w:pPr>
          </w:p>
        </w:tc>
        <w:tc>
          <w:tcPr>
            <w:tcW w:w="14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8,558</w:t>
            </w:r>
          </w:p>
        </w:tc>
        <w:tc>
          <w:tcPr>
            <w:tcW w:w="120" w:type="dxa"/>
            <w:vAlign w:val="bottom"/>
            <w:shd w:val="clear" w:color="auto" w:fill="F8F4F1"/>
          </w:tcPr>
          <w:p>
            <w:pPr>
              <w:spacing w:after="0"/>
              <w:rPr>
                <w:sz w:val="20"/>
                <w:szCs w:val="20"/>
                <w:color w:val="auto"/>
              </w:rPr>
            </w:pPr>
          </w:p>
        </w:tc>
        <w:tc>
          <w:tcPr>
            <w:tcW w:w="180" w:type="dxa"/>
            <w:vAlign w:val="bottom"/>
            <w:tcBorders>
              <w:bottom w:val="single" w:sz="8" w:color="auto"/>
            </w:tcBorders>
            <w:shd w:val="clear" w:color="auto" w:fill="F8F4F1"/>
          </w:tcPr>
          <w:p>
            <w:pPr>
              <w:spacing w:after="0"/>
              <w:rPr>
                <w:sz w:val="20"/>
                <w:szCs w:val="20"/>
                <w:color w:val="auto"/>
              </w:rPr>
            </w:pPr>
          </w:p>
        </w:tc>
        <w:tc>
          <w:tcPr>
            <w:tcW w:w="158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9,220</w:t>
            </w:r>
          </w:p>
        </w:tc>
      </w:tr>
      <w:tr>
        <w:trPr>
          <w:trHeight w:val="23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NOI</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91,148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265,223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252,798</w:t>
            </w:r>
          </w:p>
        </w:tc>
      </w:tr>
      <w:tr>
        <w:trPr>
          <w:trHeight w:val="21"/>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2026 Versus the Nine Months Ended September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Atlanta</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NOI increased due to new leases commencing and/or current tenants expanding at our 1155 Perimeter Center West and Galleria on the Park projects during the nine months ended September 30, 2026 as compared to the same period in the prior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Orlando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 increased primarily due to several leases commencing at 501 West Church and 200 South Orange at The Exchange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120"/>
        <w:spacing w:after="0" w:line="286" w:lineRule="auto"/>
        <w:rPr>
          <w:sz w:val="20"/>
          <w:szCs w:val="20"/>
          <w:color w:val="auto"/>
        </w:rPr>
      </w:pPr>
      <w:r>
        <w:rPr>
          <w:rFonts w:ascii="Times New Roman" w:cs="Times New Roman" w:eastAsia="Times New Roman" w:hAnsi="Times New Roman"/>
          <w:sz w:val="18"/>
          <w:szCs w:val="18"/>
          <w:b w:val="1"/>
          <w:bCs w:val="1"/>
          <w:color w:val="auto"/>
        </w:rPr>
        <w:t>Funds From Operations ("FFO"), Core Funds From Operations ("Core FFO"), and Adjusted Funds From Operations (“AFFO”)</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loss calculated in accordance with GAAP is the starting point for calculating FFO, Core FFO, and AFFO. These metrics are non-GAAP financial measures and should not be viewed as an alternative measurement of our operating performance to net loss. Management believes that accounting for real estate assets in accordance with GAAP implicitly assumes that the value of real estate assets diminishes predictably over time. Since real estate values have historically risen or fallen with market conditions, many industry investors and analysts have considered the presentation of operating results for real estate companies that use historical cost accounting alone to be insufficient. As a result, we believe that the additive use of FFO, Core FFO, and AFFO, together with the required GAAP presentation, provides a more complete understanding of our performance relative to our competitors and a more informed and appropriate basis on which to make decisions involving operating, financing, and investing activities.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calculate FFO in accordance with the current National Association of Real Estate Investment Trusts ("NAREIT") definition. NAREIT currently defines FFO as Net loss (calculated in accordance with GAAP), excluding depreciation and amortization related to real estate, gains and losses from the sale of certain real estate assets, gains and losses from change in control, and impairment write-downs of certain real estate assets, goodwill, and investment in entities when the impairment is directly attributable to decreases in the value of depreciable real estate held by the entity, along with appropriate adjustments to those reconciling items for joint ventures, if any. Other REITs may not define FFO in accordance with the NAREIT definition, or may interpret the current NAREIT definition differently than we do; therefore, our computation of FFO may not be comparable to the computation made by other REITs.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calculate Core FFO by starting with FFO, as defined by NAREIT, and adjusting for gains or losses on the early extinguishment of debt and any significant non-recurring or infrequent items. Core FFO is a non-GAAP financial measure and should not be viewed as an alternative to net loss calculated in accordance with GAAP as a measurement of our operating performance. We believe that Core FFO is helpful to investors as a supplemental performance measure because it excludes the effects of certain infrequent or non-recurring items which can create significant earnings volatility, but which do not directly relate to our core recurring business operations. As a result, we believe that Core FFO can help facilitate comparisons of operating performance between periods and provides a more meaningful predictor of future earnings potential. Other REITs may not define Core FFO in the same manner as we do; therefore, our computation of Core FFO may not be comparable to the computation made by other REITs.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calculate AFFO by starting with Core FFO and adjusting for non-incremental capital expenditures and then adding back certain non-cash items including: non-real estate depreciation, straight-lined rents and fair value lease adjustments, non-cash components of interest expense and compensation expense, and by making similar adjustments for joint ventures, if any. AFFO is a non-GAAP financial measure and should not be viewed as an alternative to net loss calculated in accordance with GAAP as a measurement of our operating performance. We believe that AFFO is helpful to investors as a meaningful supplemental comparative performance measure of our ability to make incremental capital investments in new properties or enhancements to existing properties that improve revenue growth potential. Other REITs may not define AFFO in the same manner as us; therefore, our computation of AFFO may not be comparable to the computation of other REITs.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net loss applicable to common stock to FFO, Core FFO, and AFFO for the three and nine months ended September 30, 2026 and 2025 are presented below (in thousands except per share amounts):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72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4"/>
        </w:trPr>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3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3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220" w:type="dxa"/>
            <w:vAlign w:val="bottom"/>
          </w:tcPr>
          <w:p>
            <w:pPr>
              <w:jc w:val="right"/>
              <w:ind w:right="17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320" w:type="dxa"/>
            <w:vAlign w:val="bottom"/>
            <w:tcBorders>
              <w:bottom w:val="single" w:sz="8" w:color="F8F4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F8F4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F8F4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F8F4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1"/>
        </w:trPr>
        <w:tc>
          <w:tcPr>
            <w:tcW w:w="53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applicable to Piedmont (GAAP basis)</w:t>
            </w: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(21,022)</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(45,043)</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(40,374)</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real estate assets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122,538</w:t>
            </w:r>
          </w:p>
        </w:tc>
      </w:tr>
      <w:tr>
        <w:trPr>
          <w:trHeight w:val="243"/>
        </w:trPr>
        <w:tc>
          <w:tcPr>
            <w:tcW w:w="53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Amortization of lease-related costs</w:t>
            </w:r>
          </w:p>
        </w:tc>
        <w:tc>
          <w:tcPr>
            <w:tcW w:w="18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14,045</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43,795</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45,379</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37"/>
        </w:trPr>
        <w:tc>
          <w:tcPr>
            <w:tcW w:w="5320" w:type="dxa"/>
            <w:vAlign w:val="bottom"/>
            <w:tcBorders>
              <w:top w:val="single" w:sz="8" w:color="F8F4F1"/>
            </w:tcBorders>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NAREIT FFO applicable to common stock</w:t>
            </w:r>
          </w:p>
        </w:tc>
        <w:tc>
          <w:tcPr>
            <w:tcW w:w="180" w:type="dxa"/>
            <w:vAlign w:val="bottom"/>
            <w:tcBorders>
              <w:top w:val="single" w:sz="8" w:color="auto"/>
              <w:bottom w:val="single" w:sz="8" w:color="auto"/>
            </w:tcBorders>
            <w:shd w:val="clear" w:color="auto" w:fill="F8F4F1"/>
          </w:tcPr>
          <w:p>
            <w:pPr>
              <w:spacing w:after="0"/>
              <w:rPr>
                <w:sz w:val="20"/>
                <w:szCs w:val="20"/>
                <w:color w:val="auto"/>
              </w:rPr>
            </w:pPr>
          </w:p>
        </w:tc>
        <w:tc>
          <w:tcPr>
            <w:tcW w:w="120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29,908</w:t>
            </w:r>
          </w:p>
        </w:tc>
        <w:tc>
          <w:tcPr>
            <w:tcW w:w="120" w:type="dxa"/>
            <w:vAlign w:val="bottom"/>
            <w:tcBorders>
              <w:top w:val="single" w:sz="8" w:color="F8F4F1"/>
            </w:tcBorders>
            <w:shd w:val="clear" w:color="auto" w:fill="F8F4F1"/>
          </w:tcPr>
          <w:p>
            <w:pPr>
              <w:spacing w:after="0"/>
              <w:rPr>
                <w:sz w:val="20"/>
                <w:szCs w:val="20"/>
                <w:color w:val="auto"/>
              </w:rPr>
            </w:pPr>
          </w:p>
        </w:tc>
        <w:tc>
          <w:tcPr>
            <w:tcW w:w="160" w:type="dxa"/>
            <w:vAlign w:val="bottom"/>
            <w:tcBorders>
              <w:top w:val="single" w:sz="8" w:color="auto"/>
              <w:bottom w:val="single" w:sz="8" w:color="auto"/>
            </w:tcBorders>
            <w:shd w:val="clear" w:color="auto" w:fill="F8F4F1"/>
          </w:tcPr>
          <w:p>
            <w:pPr>
              <w:spacing w:after="0"/>
              <w:rPr>
                <w:sz w:val="20"/>
                <w:szCs w:val="20"/>
                <w:color w:val="auto"/>
              </w:rPr>
            </w:pPr>
          </w:p>
        </w:tc>
        <w:tc>
          <w:tcPr>
            <w:tcW w:w="120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120" w:type="dxa"/>
            <w:vAlign w:val="bottom"/>
            <w:tcBorders>
              <w:top w:val="single" w:sz="8" w:color="F8F4F1"/>
            </w:tcBorders>
            <w:shd w:val="clear" w:color="auto" w:fill="F8F4F1"/>
          </w:tcPr>
          <w:p>
            <w:pPr>
              <w:spacing w:after="0"/>
              <w:rPr>
                <w:sz w:val="20"/>
                <w:szCs w:val="20"/>
                <w:color w:val="auto"/>
              </w:rPr>
            </w:pPr>
          </w:p>
        </w:tc>
        <w:tc>
          <w:tcPr>
            <w:tcW w:w="160" w:type="dxa"/>
            <w:vAlign w:val="bottom"/>
            <w:tcBorders>
              <w:top w:val="single" w:sz="8" w:color="auto"/>
              <w:bottom w:val="single" w:sz="8" w:color="auto"/>
            </w:tcBorders>
            <w:shd w:val="clear" w:color="auto" w:fill="F8F4F1"/>
          </w:tcPr>
          <w:p>
            <w:pPr>
              <w:spacing w:after="0"/>
              <w:rPr>
                <w:sz w:val="20"/>
                <w:szCs w:val="20"/>
                <w:color w:val="auto"/>
              </w:rPr>
            </w:pPr>
          </w:p>
        </w:tc>
        <w:tc>
          <w:tcPr>
            <w:tcW w:w="12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123,789</w:t>
            </w:r>
          </w:p>
        </w:tc>
        <w:tc>
          <w:tcPr>
            <w:tcW w:w="100" w:type="dxa"/>
            <w:vAlign w:val="bottom"/>
            <w:tcBorders>
              <w:top w:val="single" w:sz="8" w:color="F8F4F1"/>
            </w:tcBorders>
            <w:shd w:val="clear" w:color="auto" w:fill="F8F4F1"/>
          </w:tcPr>
          <w:p>
            <w:pPr>
              <w:spacing w:after="0"/>
              <w:rPr>
                <w:sz w:val="20"/>
                <w:szCs w:val="20"/>
                <w:color w:val="auto"/>
              </w:rPr>
            </w:pPr>
          </w:p>
        </w:tc>
        <w:tc>
          <w:tcPr>
            <w:tcW w:w="180" w:type="dxa"/>
            <w:vAlign w:val="bottom"/>
            <w:tcBorders>
              <w:top w:val="single" w:sz="8" w:color="auto"/>
              <w:bottom w:val="single" w:sz="8" w:color="auto"/>
            </w:tcBorders>
            <w:shd w:val="clear" w:color="auto" w:fill="F8F4F1"/>
          </w:tcPr>
          <w:p>
            <w:pPr>
              <w:spacing w:after="0"/>
              <w:rPr>
                <w:sz w:val="20"/>
                <w:szCs w:val="20"/>
                <w:color w:val="auto"/>
              </w:rPr>
            </w:pPr>
          </w:p>
        </w:tc>
        <w:tc>
          <w:tcPr>
            <w:tcW w:w="1220" w:type="dxa"/>
            <w:vAlign w:val="bottom"/>
            <w:tcBorders>
              <w:top w:val="single" w:sz="8" w:color="auto"/>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125,530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53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32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7"/>
        </w:trPr>
        <w:tc>
          <w:tcPr>
            <w:tcW w:w="5320" w:type="dxa"/>
            <w:vAlign w:val="bottom"/>
            <w:tcBorders>
              <w:bottom w:val="single" w:sz="8" w:color="F8F4F1"/>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Core FFO applicable to common stock</w:t>
            </w: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50,144</w:t>
            </w:r>
          </w:p>
        </w:tc>
        <w:tc>
          <w:tcPr>
            <w:tcW w:w="120" w:type="dxa"/>
            <w:vAlign w:val="bottom"/>
            <w:tcBorders>
              <w:bottom w:val="single" w:sz="8" w:color="F8F4F1"/>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120" w:type="dxa"/>
            <w:vAlign w:val="bottom"/>
            <w:tcBorders>
              <w:bottom w:val="single" w:sz="8" w:color="F8F4F1"/>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144,025</w:t>
            </w:r>
          </w:p>
        </w:tc>
        <w:tc>
          <w:tcPr>
            <w:tcW w:w="100" w:type="dxa"/>
            <w:vAlign w:val="bottom"/>
            <w:tcBorders>
              <w:bottom w:val="single" w:sz="8" w:color="F8F4F1"/>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133,530</w:t>
            </w:r>
          </w:p>
        </w:tc>
      </w:tr>
      <w:tr>
        <w:trPr>
          <w:trHeight w:val="223"/>
        </w:trPr>
        <w:tc>
          <w:tcPr>
            <w:tcW w:w="53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F8F4F1"/>
          </w:tcPr>
          <w:p>
            <w:pPr>
              <w:spacing w:after="0"/>
              <w:rPr>
                <w:sz w:val="19"/>
                <w:szCs w:val="19"/>
                <w:color w:val="auto"/>
              </w:rPr>
            </w:pPr>
          </w:p>
        </w:tc>
        <w:tc>
          <w:tcPr>
            <w:tcW w:w="1200" w:type="dxa"/>
            <w:vAlign w:val="bottom"/>
            <w:shd w:val="clear" w:color="auto" w:fill="F8F4F1"/>
          </w:tcPr>
          <w:p>
            <w:pPr>
              <w:spacing w:after="0"/>
              <w:rPr>
                <w:sz w:val="19"/>
                <w:szCs w:val="19"/>
                <w:color w:val="auto"/>
              </w:rPr>
            </w:pPr>
          </w:p>
        </w:tc>
        <w:tc>
          <w:tcPr>
            <w:tcW w:w="120" w:type="dxa"/>
            <w:vAlign w:val="bottom"/>
            <w:shd w:val="clear" w:color="auto" w:fill="F8F4F1"/>
          </w:tcPr>
          <w:p>
            <w:pPr>
              <w:spacing w:after="0"/>
              <w:rPr>
                <w:sz w:val="19"/>
                <w:szCs w:val="19"/>
                <w:color w:val="auto"/>
              </w:rPr>
            </w:pPr>
          </w:p>
        </w:tc>
        <w:tc>
          <w:tcPr>
            <w:tcW w:w="160" w:type="dxa"/>
            <w:vAlign w:val="bottom"/>
            <w:shd w:val="clear" w:color="auto" w:fill="F8F4F1"/>
          </w:tcPr>
          <w:p>
            <w:pPr>
              <w:spacing w:after="0"/>
              <w:rPr>
                <w:sz w:val="19"/>
                <w:szCs w:val="19"/>
                <w:color w:val="auto"/>
              </w:rPr>
            </w:pPr>
          </w:p>
        </w:tc>
        <w:tc>
          <w:tcPr>
            <w:tcW w:w="1200" w:type="dxa"/>
            <w:vAlign w:val="bottom"/>
            <w:shd w:val="clear" w:color="auto" w:fill="F8F4F1"/>
          </w:tcPr>
          <w:p>
            <w:pPr>
              <w:spacing w:after="0"/>
              <w:rPr>
                <w:sz w:val="19"/>
                <w:szCs w:val="19"/>
                <w:color w:val="auto"/>
              </w:rPr>
            </w:pPr>
          </w:p>
        </w:tc>
        <w:tc>
          <w:tcPr>
            <w:tcW w:w="120" w:type="dxa"/>
            <w:vAlign w:val="bottom"/>
            <w:shd w:val="clear" w:color="auto" w:fill="F8F4F1"/>
          </w:tcPr>
          <w:p>
            <w:pPr>
              <w:spacing w:after="0"/>
              <w:rPr>
                <w:sz w:val="19"/>
                <w:szCs w:val="19"/>
                <w:color w:val="auto"/>
              </w:rPr>
            </w:pPr>
          </w:p>
        </w:tc>
        <w:tc>
          <w:tcPr>
            <w:tcW w:w="160" w:type="dxa"/>
            <w:vAlign w:val="bottom"/>
            <w:shd w:val="clear" w:color="auto" w:fill="F8F4F1"/>
          </w:tcPr>
          <w:p>
            <w:pPr>
              <w:spacing w:after="0"/>
              <w:rPr>
                <w:sz w:val="19"/>
                <w:szCs w:val="19"/>
                <w:color w:val="auto"/>
              </w:rPr>
            </w:pPr>
          </w:p>
        </w:tc>
        <w:tc>
          <w:tcPr>
            <w:tcW w:w="1220" w:type="dxa"/>
            <w:vAlign w:val="bottom"/>
            <w:shd w:val="clear" w:color="auto" w:fill="F8F4F1"/>
          </w:tcPr>
          <w:p>
            <w:pPr>
              <w:spacing w:after="0"/>
              <w:rPr>
                <w:sz w:val="19"/>
                <w:szCs w:val="19"/>
                <w:color w:val="auto"/>
              </w:rPr>
            </w:pPr>
          </w:p>
        </w:tc>
        <w:tc>
          <w:tcPr>
            <w:tcW w:w="100" w:type="dxa"/>
            <w:vAlign w:val="bottom"/>
            <w:shd w:val="clear" w:color="auto" w:fill="F8F4F1"/>
          </w:tcPr>
          <w:p>
            <w:pPr>
              <w:spacing w:after="0"/>
              <w:rPr>
                <w:sz w:val="19"/>
                <w:szCs w:val="19"/>
                <w:color w:val="auto"/>
              </w:rPr>
            </w:pPr>
          </w:p>
        </w:tc>
        <w:tc>
          <w:tcPr>
            <w:tcW w:w="180" w:type="dxa"/>
            <w:vAlign w:val="bottom"/>
            <w:shd w:val="clear" w:color="auto" w:fill="F8F4F1"/>
          </w:tcPr>
          <w:p>
            <w:pPr>
              <w:spacing w:after="0"/>
              <w:rPr>
                <w:sz w:val="19"/>
                <w:szCs w:val="19"/>
                <w:color w:val="auto"/>
              </w:rPr>
            </w:pPr>
          </w:p>
        </w:tc>
        <w:tc>
          <w:tcPr>
            <w:tcW w:w="1220" w:type="dxa"/>
            <w:vAlign w:val="bottom"/>
            <w:shd w:val="clear" w:color="auto" w:fill="F8F4F1"/>
          </w:tcPr>
          <w:p>
            <w:pPr>
              <w:spacing w:after="0"/>
              <w:rPr>
                <w:sz w:val="19"/>
                <w:szCs w:val="19"/>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 and discounts on debt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r>
      <w:tr>
        <w:trPr>
          <w:trHeight w:val="243"/>
        </w:trPr>
        <w:tc>
          <w:tcPr>
            <w:tcW w:w="53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Depreciation of non-real estate assets</w:t>
            </w:r>
          </w:p>
        </w:tc>
        <w:tc>
          <w:tcPr>
            <w:tcW w:w="18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Straight-line effects of lease revenue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w:t>
            </w:r>
          </w:p>
        </w:tc>
      </w:tr>
      <w:tr>
        <w:trPr>
          <w:trHeight w:val="243"/>
        </w:trPr>
        <w:tc>
          <w:tcPr>
            <w:tcW w:w="5320" w:type="dxa"/>
            <w:vAlign w:val="bottom"/>
            <w:shd w:val="clear" w:color="auto" w:fill="F8F4F1"/>
          </w:tcPr>
          <w:p>
            <w:pPr>
              <w:ind w:left="180"/>
              <w:spacing w:after="0"/>
              <w:rPr>
                <w:sz w:val="20"/>
                <w:szCs w:val="20"/>
                <w:color w:val="auto"/>
              </w:rPr>
            </w:pPr>
            <w:r>
              <w:rPr>
                <w:rFonts w:ascii="Times New Roman" w:cs="Times New Roman" w:eastAsia="Times New Roman" w:hAnsi="Times New Roman"/>
                <w:sz w:val="18"/>
                <w:szCs w:val="18"/>
                <w:color w:val="auto"/>
              </w:rPr>
              <w:t>Stock-based compensation adjustments</w:t>
            </w:r>
          </w:p>
        </w:tc>
        <w:tc>
          <w:tcPr>
            <w:tcW w:w="18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4,135</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4,954</w:t>
            </w: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lease-related intangibles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43"/>
        </w:trPr>
        <w:tc>
          <w:tcPr>
            <w:tcW w:w="5320" w:type="dxa"/>
            <w:vAlign w:val="bottom"/>
            <w:shd w:val="clear" w:color="auto" w:fill="F8F4F1"/>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Non-incremental capital expenditures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F8F4F1"/>
          </w:tcPr>
          <w:p>
            <w:pPr>
              <w:spacing w:after="0"/>
              <w:rPr>
                <w:sz w:val="21"/>
                <w:szCs w:val="21"/>
                <w:color w:val="auto"/>
              </w:rPr>
            </w:pPr>
          </w:p>
        </w:tc>
        <w:tc>
          <w:tcPr>
            <w:tcW w:w="12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(15,501)</w:t>
            </w:r>
          </w:p>
        </w:tc>
        <w:tc>
          <w:tcPr>
            <w:tcW w:w="120" w:type="dxa"/>
            <w:vAlign w:val="bottom"/>
            <w:shd w:val="clear" w:color="auto" w:fill="F8F4F1"/>
          </w:tcPr>
          <w:p>
            <w:pPr>
              <w:spacing w:after="0"/>
              <w:rPr>
                <w:sz w:val="21"/>
                <w:szCs w:val="21"/>
                <w:color w:val="auto"/>
              </w:rPr>
            </w:pPr>
          </w:p>
        </w:tc>
        <w:tc>
          <w:tcPr>
            <w:tcW w:w="160" w:type="dxa"/>
            <w:vAlign w:val="bottom"/>
            <w:tcBorders>
              <w:bottom w:val="single" w:sz="8" w:color="auto"/>
            </w:tcBorders>
            <w:shd w:val="clear" w:color="auto" w:fill="F8F4F1"/>
          </w:tcPr>
          <w:p>
            <w:pPr>
              <w:spacing w:after="0"/>
              <w:rPr>
                <w:sz w:val="21"/>
                <w:szCs w:val="21"/>
                <w:color w:val="auto"/>
              </w:rPr>
            </w:pPr>
          </w:p>
        </w:tc>
        <w:tc>
          <w:tcPr>
            <w:tcW w:w="12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20" w:type="dxa"/>
            <w:vAlign w:val="bottom"/>
            <w:shd w:val="clear" w:color="auto" w:fill="F8F4F1"/>
          </w:tcPr>
          <w:p>
            <w:pPr>
              <w:spacing w:after="0"/>
              <w:rPr>
                <w:sz w:val="21"/>
                <w:szCs w:val="21"/>
                <w:color w:val="auto"/>
              </w:rPr>
            </w:pPr>
          </w:p>
        </w:tc>
        <w:tc>
          <w:tcPr>
            <w:tcW w:w="160" w:type="dxa"/>
            <w:vAlign w:val="bottom"/>
            <w:tcBorders>
              <w:bottom w:val="single" w:sz="8" w:color="auto"/>
            </w:tcBorders>
            <w:shd w:val="clear" w:color="auto" w:fill="F8F4F1"/>
          </w:tcPr>
          <w:p>
            <w:pPr>
              <w:spacing w:after="0"/>
              <w:rPr>
                <w:sz w:val="21"/>
                <w:szCs w:val="21"/>
                <w:color w:val="auto"/>
              </w:rPr>
            </w:pPr>
          </w:p>
        </w:tc>
        <w:tc>
          <w:tcPr>
            <w:tcW w:w="12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(46,849)</w:t>
            </w:r>
          </w:p>
        </w:tc>
        <w:tc>
          <w:tcPr>
            <w:tcW w:w="10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122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(47,082)</w:t>
            </w: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AFFO applicable to common stock</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29,939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84,771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66,234</w:t>
            </w:r>
          </w:p>
        </w:tc>
      </w:tr>
      <w:tr>
        <w:trPr>
          <w:trHeight w:val="20"/>
        </w:trPr>
        <w:tc>
          <w:tcPr>
            <w:tcW w:w="5320" w:type="dxa"/>
            <w:vAlign w:val="bottom"/>
            <w:tcBorders>
              <w:bottom w:val="single" w:sz="8" w:color="F8F4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8F4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F8F4F1"/>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Weighted-average shares outstanding – diluted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F8F4F1"/>
          </w:tcPr>
          <w:p>
            <w:pPr>
              <w:spacing w:after="0"/>
              <w:rPr>
                <w:sz w:val="20"/>
                <w:szCs w:val="20"/>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127,320</w:t>
            </w:r>
          </w:p>
        </w:tc>
        <w:tc>
          <w:tcPr>
            <w:tcW w:w="120" w:type="dxa"/>
            <w:vAlign w:val="bottom"/>
            <w:shd w:val="clear" w:color="auto" w:fill="F8F4F1"/>
          </w:tcPr>
          <w:p>
            <w:pPr>
              <w:spacing w:after="0"/>
              <w:rPr>
                <w:sz w:val="20"/>
                <w:szCs w:val="20"/>
                <w:color w:val="auto"/>
              </w:rPr>
            </w:pPr>
          </w:p>
        </w:tc>
        <w:tc>
          <w:tcPr>
            <w:tcW w:w="160" w:type="dxa"/>
            <w:vAlign w:val="bottom"/>
            <w:shd w:val="clear" w:color="auto" w:fill="F8F4F1"/>
          </w:tcPr>
          <w:p>
            <w:pPr>
              <w:spacing w:after="0"/>
              <w:rPr>
                <w:sz w:val="20"/>
                <w:szCs w:val="20"/>
                <w:color w:val="auto"/>
              </w:rPr>
            </w:pP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126,007</w:t>
            </w:r>
          </w:p>
        </w:tc>
        <w:tc>
          <w:tcPr>
            <w:tcW w:w="120" w:type="dxa"/>
            <w:vAlign w:val="bottom"/>
            <w:shd w:val="clear" w:color="auto" w:fill="F8F4F1"/>
          </w:tcPr>
          <w:p>
            <w:pPr>
              <w:spacing w:after="0"/>
              <w:rPr>
                <w:sz w:val="20"/>
                <w:szCs w:val="20"/>
                <w:color w:val="auto"/>
              </w:rPr>
            </w:pPr>
          </w:p>
        </w:tc>
        <w:tc>
          <w:tcPr>
            <w:tcW w:w="160" w:type="dxa"/>
            <w:vAlign w:val="bottom"/>
            <w:shd w:val="clear" w:color="auto" w:fill="F8F4F1"/>
          </w:tcPr>
          <w:p>
            <w:pPr>
              <w:spacing w:after="0"/>
              <w:rPr>
                <w:sz w:val="20"/>
                <w:szCs w:val="20"/>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126,941</w:t>
            </w:r>
          </w:p>
        </w:tc>
        <w:tc>
          <w:tcPr>
            <w:tcW w:w="100" w:type="dxa"/>
            <w:vAlign w:val="bottom"/>
            <w:shd w:val="clear" w:color="auto" w:fill="F8F4F1"/>
          </w:tcPr>
          <w:p>
            <w:pPr>
              <w:spacing w:after="0"/>
              <w:rPr>
                <w:sz w:val="20"/>
                <w:szCs w:val="20"/>
                <w:color w:val="auto"/>
              </w:rPr>
            </w:pPr>
          </w:p>
        </w:tc>
        <w:tc>
          <w:tcPr>
            <w:tcW w:w="180" w:type="dxa"/>
            <w:vAlign w:val="bottom"/>
            <w:shd w:val="clear" w:color="auto" w:fill="F8F4F1"/>
          </w:tcPr>
          <w:p>
            <w:pPr>
              <w:spacing w:after="0"/>
              <w:rPr>
                <w:sz w:val="20"/>
                <w:szCs w:val="20"/>
                <w:color w:val="auto"/>
              </w:rPr>
            </w:pP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125,638</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NAREIT FFO per share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32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b w:val="1"/>
                <w:bCs w:val="1"/>
                <w:color w:val="auto"/>
              </w:rPr>
              <w:t>Core FFO per share (diluted)</w:t>
            </w: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0.39</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shd w:val="clear" w:color="auto" w:fill="F8F4F1"/>
          </w:tcPr>
          <w:p>
            <w:pPr>
              <w:spacing w:after="0"/>
              <w:rPr>
                <w:sz w:val="21"/>
                <w:szCs w:val="21"/>
                <w:color w:val="auto"/>
              </w:rPr>
            </w:pPr>
          </w:p>
        </w:tc>
        <w:tc>
          <w:tcPr>
            <w:tcW w:w="16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shd w:val="clear" w:color="auto" w:fill="F8F4F1"/>
          </w:tcPr>
          <w:p>
            <w:pPr>
              <w:spacing w:after="0"/>
              <w:rPr>
                <w:sz w:val="21"/>
                <w:szCs w:val="21"/>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378" w:lineRule="exact"/>
        <w:rPr>
          <w:sz w:val="20"/>
          <w:szCs w:val="20"/>
          <w:color w:val="auto"/>
        </w:rPr>
      </w:pPr>
    </w:p>
    <w:p>
      <w:pPr>
        <w:jc w:val="both"/>
        <w:ind w:left="660" w:hanging="652"/>
        <w:spacing w:after="0" w:line="245"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define non-incremental capital expenditures as capital expenditures of a recurring nature related to tenant improvements, leasing commissions, and building capital that do not incrementally enhance the underlying assets' income generating capacity. Tenant improvements, leasing commissions, building capital and deferred lease incentives incurred to lease space that was vacant at acquisition, leasing costs for spaces vacant for greater than one year, leasing costs for spaces at newly acquired properties for which in-place leases expire shortly after acquisition, improvements associated with the expansion of a building, and renovations that either enhance the rental rates of a building or change the property's underlying classification, such as from a Class B to a Class A property, are excluded from this measure.</w:t>
      </w:r>
    </w:p>
    <w:p>
      <w:pPr>
        <w:spacing w:after="0" w:line="29" w:lineRule="exact"/>
        <w:rPr>
          <w:rFonts w:ascii="Times New Roman" w:cs="Times New Roman" w:eastAsia="Times New Roman" w:hAnsi="Times New Roman"/>
          <w:sz w:val="21"/>
          <w:szCs w:val="21"/>
          <w:color w:val="auto"/>
          <w:vertAlign w:val="superscript"/>
        </w:rPr>
      </w:pPr>
    </w:p>
    <w:p>
      <w:pPr>
        <w:jc w:val="both"/>
        <w:ind w:left="660" w:right="20" w:hanging="652"/>
        <w:spacing w:after="0"/>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potential dilution under the treasury stock method that would occur if our remaining unvested and potential stock awards vested and resulted in additional common shares outstanding. Such shares are not included when calculating net loss per share applicable to Piedmont for the three and nine months ended September 30, 2026 and 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respectively, as they would reduce the loss per share presented.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Same Store Net Operating Income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Net Operating Income ("Property NOI") is a non-GAAP measure which we use to assess our operating results. We calculate Property NOI beginning with Net loss (calculated in accordance with GAAP) before adjusting for interest, depreciation and amortization and removing any impairments and gains or losses from sales of property and other significant infrequent items that create volatility within our earnings and make it difficult to determine the earnings generated by our core ongoing business. Furthermore, we remove general and administrative expenses, income associated with property management performed by us for other organizations, and other income or expense items. For Property NOI (cash basis), straight-lined rents and fair value lease revenue are also eliminated; while such effects are not adjusted in calculating Property NOI (accrual basis). Property NOI is a non-GAAP financial measure and should not be viewed as an alternative to net loss calculated in accordance with GAAP as a measurement of our operating performance. We believe that Property NOI, on either a cash or accrual basis, is helpful to investors as a supplemental comparative performance measure of income generated by our properties alone without our administrative overhead. Other REITs may not define Property NOI in the same manner as we do; therefore, our computation of Property NOI may not be comparable to that of other REITs.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calculate Same Store Net Operating Income ("Same Store NOI") as Property NOI attributable to the properties (excluding undeveloped land parcels) that were (i) owned by us during the entire span of the current and prior year reporting periods; and (ii) that were not out of service for development or redevelopment during those periods. Same Store NOI, on either a cash or accrual basis, is a non-GAAP financial measure and should not be viewed as an alternative to net loss calculated in accordance with GAAP as a measurement of our operating performance. We believe that Same Store NOI is helpful to investors as a supplemental comparative performance measure of the income generated from the same group of properties from one period to the next. Other REITs may not define Same Store NOI in the same manner as we do; therefore, our computation of Same Store NOI may not be comparable to that of other REITs.</w:t>
      </w:r>
    </w:p>
    <w:p>
      <w:pPr>
        <w:spacing w:after="0" w:line="200" w:lineRule="exact"/>
        <w:rPr>
          <w:sz w:val="20"/>
          <w:szCs w:val="20"/>
          <w:color w:val="auto"/>
        </w:rPr>
      </w:pP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from net loss calculated in accordance with GAAP to EBITDAre, Core EBITDA, Property NOI, and Same Store NOI, on both a cash and accrual basis, for the three months ended September 30, 2026 and 2025, respectively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Cash Basis</w:t>
            </w:r>
          </w:p>
        </w:tc>
        <w:tc>
          <w:tcPr>
            <w:tcW w:w="180" w:type="dxa"/>
            <w:vAlign w:val="bottom"/>
          </w:tcPr>
          <w:p>
            <w:pPr>
              <w:spacing w:after="0"/>
              <w:rPr>
                <w:sz w:val="16"/>
                <w:szCs w:val="16"/>
                <w:color w:val="auto"/>
              </w:rPr>
            </w:pPr>
          </w:p>
        </w:tc>
        <w:tc>
          <w:tcPr>
            <w:tcW w:w="26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Accrual Basis</w:t>
            </w: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4"/>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2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38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40" w:type="dxa"/>
            <w:vAlign w:val="bottom"/>
          </w:tcPr>
          <w:p>
            <w:pPr>
              <w:jc w:val="right"/>
              <w:ind w:right="11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5"/>
        </w:trPr>
        <w:tc>
          <w:tcPr>
            <w:tcW w:w="5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5400" w:type="dxa"/>
            <w:vAlign w:val="bottom"/>
            <w:shd w:val="clear" w:color="auto" w:fill="F8F4F1"/>
          </w:tcPr>
          <w:p>
            <w:pPr>
              <w:spacing w:after="0"/>
              <w:rPr>
                <w:sz w:val="20"/>
                <w:szCs w:val="20"/>
                <w:color w:val="auto"/>
              </w:rPr>
            </w:pPr>
            <w:r>
              <w:rPr>
                <w:rFonts w:ascii="Times New Roman" w:cs="Times New Roman" w:eastAsia="Times New Roman" w:hAnsi="Times New Roman"/>
                <w:sz w:val="18"/>
                <w:szCs w:val="18"/>
                <w:b w:val="1"/>
                <w:bCs w:val="1"/>
                <w:color w:val="auto"/>
              </w:rPr>
              <w:t>Net loss applicable to Piedmont (GAAP basis)</w:t>
            </w: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(21,022)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(21,022)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(13,462)</w:t>
            </w:r>
          </w:p>
        </w:tc>
      </w:tr>
      <w:tr>
        <w:trPr>
          <w:trHeight w:val="14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Net income applicable to noncontrolling interest</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32,026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32,026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46,123</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46,123</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42,127</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14,045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14,045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260" w:type="dxa"/>
            <w:vAlign w:val="bottom"/>
            <w:gridSpan w:val="2"/>
            <w:shd w:val="clear" w:color="auto" w:fill="F8F4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8"/>
        </w:trPr>
        <w:tc>
          <w:tcPr>
            <w:tcW w:w="5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43"/>
        </w:trPr>
        <w:tc>
          <w:tcPr>
            <w:tcW w:w="5400" w:type="dxa"/>
            <w:vAlign w:val="bottom"/>
            <w:shd w:val="clear" w:color="auto" w:fill="F8F4F1"/>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EBITDAre</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62,292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62,292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75,826</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29"/>
        </w:trPr>
        <w:tc>
          <w:tcPr>
            <w:tcW w:w="5400" w:type="dxa"/>
            <w:vAlign w:val="bottom"/>
            <w:tcBorders>
              <w:top w:val="single" w:sz="8" w:color="F8F4F1"/>
            </w:tcBorders>
            <w:shd w:val="clear" w:color="auto" w:fill="F8F4F1"/>
          </w:tcPr>
          <w:p>
            <w:pPr>
              <w:spacing w:after="0"/>
              <w:rPr>
                <w:sz w:val="11"/>
                <w:szCs w:val="11"/>
                <w:color w:val="auto"/>
              </w:rPr>
            </w:pPr>
          </w:p>
        </w:tc>
        <w:tc>
          <w:tcPr>
            <w:tcW w:w="180" w:type="dxa"/>
            <w:vAlign w:val="bottom"/>
            <w:tcBorders>
              <w:top w:val="single" w:sz="8" w:color="auto"/>
            </w:tcBorders>
            <w:shd w:val="clear" w:color="auto" w:fill="F8F4F1"/>
          </w:tcPr>
          <w:p>
            <w:pPr>
              <w:spacing w:after="0"/>
              <w:rPr>
                <w:sz w:val="11"/>
                <w:szCs w:val="11"/>
                <w:color w:val="auto"/>
              </w:rPr>
            </w:pPr>
          </w:p>
        </w:tc>
        <w:tc>
          <w:tcPr>
            <w:tcW w:w="1240" w:type="dxa"/>
            <w:vAlign w:val="bottom"/>
            <w:tcBorders>
              <w:top w:val="single" w:sz="8" w:color="auto"/>
            </w:tcBorders>
            <w:shd w:val="clear" w:color="auto" w:fill="F8F4F1"/>
          </w:tcPr>
          <w:p>
            <w:pPr>
              <w:spacing w:after="0"/>
              <w:rPr>
                <w:sz w:val="11"/>
                <w:szCs w:val="11"/>
                <w:color w:val="auto"/>
              </w:rPr>
            </w:pPr>
          </w:p>
        </w:tc>
        <w:tc>
          <w:tcPr>
            <w:tcW w:w="120" w:type="dxa"/>
            <w:vAlign w:val="bottom"/>
            <w:tcBorders>
              <w:top w:val="single" w:sz="8" w:color="F8F4F1"/>
            </w:tcBorders>
            <w:shd w:val="clear" w:color="auto" w:fill="F8F4F1"/>
          </w:tcPr>
          <w:p>
            <w:pPr>
              <w:spacing w:after="0"/>
              <w:rPr>
                <w:sz w:val="11"/>
                <w:szCs w:val="11"/>
                <w:color w:val="auto"/>
              </w:rPr>
            </w:pPr>
          </w:p>
        </w:tc>
        <w:tc>
          <w:tcPr>
            <w:tcW w:w="140" w:type="dxa"/>
            <w:vAlign w:val="bottom"/>
            <w:tcBorders>
              <w:top w:val="single" w:sz="8" w:color="auto"/>
            </w:tcBorders>
            <w:shd w:val="clear" w:color="auto" w:fill="F8F4F1"/>
          </w:tcPr>
          <w:p>
            <w:pPr>
              <w:spacing w:after="0"/>
              <w:rPr>
                <w:sz w:val="11"/>
                <w:szCs w:val="11"/>
                <w:color w:val="auto"/>
              </w:rPr>
            </w:pPr>
          </w:p>
        </w:tc>
        <w:tc>
          <w:tcPr>
            <w:tcW w:w="1140" w:type="dxa"/>
            <w:vAlign w:val="bottom"/>
            <w:tcBorders>
              <w:top w:val="single" w:sz="8" w:color="auto"/>
            </w:tcBorders>
            <w:shd w:val="clear" w:color="auto" w:fill="F8F4F1"/>
          </w:tcPr>
          <w:p>
            <w:pPr>
              <w:spacing w:after="0"/>
              <w:rPr>
                <w:sz w:val="11"/>
                <w:szCs w:val="11"/>
                <w:color w:val="auto"/>
              </w:rPr>
            </w:pPr>
          </w:p>
        </w:tc>
        <w:tc>
          <w:tcPr>
            <w:tcW w:w="120" w:type="dxa"/>
            <w:vAlign w:val="bottom"/>
            <w:tcBorders>
              <w:top w:val="single" w:sz="8" w:color="F8F4F1"/>
            </w:tcBorders>
            <w:shd w:val="clear" w:color="auto" w:fill="F8F4F1"/>
          </w:tcPr>
          <w:p>
            <w:pPr>
              <w:spacing w:after="0"/>
              <w:rPr>
                <w:sz w:val="11"/>
                <w:szCs w:val="11"/>
                <w:color w:val="auto"/>
              </w:rPr>
            </w:pPr>
          </w:p>
        </w:tc>
        <w:tc>
          <w:tcPr>
            <w:tcW w:w="180" w:type="dxa"/>
            <w:vAlign w:val="bottom"/>
            <w:tcBorders>
              <w:top w:val="single" w:sz="8" w:color="auto"/>
            </w:tcBorders>
            <w:shd w:val="clear" w:color="auto" w:fill="F8F4F1"/>
          </w:tcPr>
          <w:p>
            <w:pPr>
              <w:spacing w:after="0"/>
              <w:rPr>
                <w:sz w:val="11"/>
                <w:szCs w:val="11"/>
                <w:color w:val="auto"/>
              </w:rPr>
            </w:pPr>
          </w:p>
        </w:tc>
        <w:tc>
          <w:tcPr>
            <w:tcW w:w="1260" w:type="dxa"/>
            <w:vAlign w:val="bottom"/>
            <w:tcBorders>
              <w:top w:val="single" w:sz="8" w:color="auto"/>
            </w:tcBorders>
            <w:shd w:val="clear" w:color="auto" w:fill="F8F4F1"/>
          </w:tcPr>
          <w:p>
            <w:pPr>
              <w:spacing w:after="0"/>
              <w:rPr>
                <w:sz w:val="11"/>
                <w:szCs w:val="11"/>
                <w:color w:val="auto"/>
              </w:rPr>
            </w:pPr>
          </w:p>
        </w:tc>
        <w:tc>
          <w:tcPr>
            <w:tcW w:w="120" w:type="dxa"/>
            <w:vAlign w:val="bottom"/>
            <w:tcBorders>
              <w:top w:val="single" w:sz="8" w:color="F8F4F1"/>
            </w:tcBorders>
            <w:shd w:val="clear" w:color="auto" w:fill="F8F4F1"/>
          </w:tcPr>
          <w:p>
            <w:pPr>
              <w:spacing w:after="0"/>
              <w:rPr>
                <w:sz w:val="11"/>
                <w:szCs w:val="11"/>
                <w:color w:val="auto"/>
              </w:rPr>
            </w:pPr>
          </w:p>
        </w:tc>
        <w:tc>
          <w:tcPr>
            <w:tcW w:w="140" w:type="dxa"/>
            <w:vAlign w:val="bottom"/>
            <w:tcBorders>
              <w:top w:val="single" w:sz="8" w:color="auto"/>
            </w:tcBorders>
            <w:shd w:val="clear" w:color="auto" w:fill="F8F4F1"/>
          </w:tcPr>
          <w:p>
            <w:pPr>
              <w:spacing w:after="0"/>
              <w:rPr>
                <w:sz w:val="11"/>
                <w:szCs w:val="11"/>
                <w:color w:val="auto"/>
              </w:rPr>
            </w:pPr>
          </w:p>
        </w:tc>
        <w:tc>
          <w:tcPr>
            <w:tcW w:w="1140" w:type="dxa"/>
            <w:vAlign w:val="bottom"/>
            <w:tcBorders>
              <w:top w:val="single" w:sz="8" w:color="auto"/>
            </w:tcBorders>
            <w:shd w:val="clear" w:color="auto" w:fill="F8F4F1"/>
          </w:tcPr>
          <w:p>
            <w:pPr>
              <w:spacing w:after="0"/>
              <w:rPr>
                <w:sz w:val="11"/>
                <w:szCs w:val="11"/>
                <w:color w:val="auto"/>
              </w:rPr>
            </w:pPr>
          </w:p>
        </w:tc>
      </w:tr>
      <w:tr>
        <w:trPr>
          <w:trHeight w:val="243"/>
        </w:trPr>
        <w:tc>
          <w:tcPr>
            <w:tcW w:w="5400" w:type="dxa"/>
            <w:vAlign w:val="bottom"/>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Core EBITDA</w:t>
            </w:r>
            <w:r>
              <w:rPr>
                <w:rFonts w:ascii="Times New Roman" w:cs="Times New Roman" w:eastAsia="Times New Roman" w:hAnsi="Times New Roman"/>
                <w:sz w:val="23"/>
                <w:szCs w:val="23"/>
                <w:b w:val="1"/>
                <w:bCs w:val="1"/>
                <w:color w:val="auto"/>
                <w:vertAlign w:val="superscript"/>
              </w:rPr>
              <w:t>(2)</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82,528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82,528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75,826</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9,057</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9,057</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7,607</w:t>
            </w:r>
          </w:p>
        </w:tc>
      </w:tr>
      <w:tr>
        <w:trPr>
          <w:trHeight w:val="243"/>
        </w:trPr>
        <w:tc>
          <w:tcPr>
            <w:tcW w:w="54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Management fee revenue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(270)</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(270)</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Straight-line rent effects of lease revenue</w:t>
            </w:r>
          </w:p>
        </w:tc>
        <w:tc>
          <w:tcPr>
            <w:tcW w:w="1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Amortization of lease-related intangibles</w:t>
            </w:r>
          </w:p>
        </w:tc>
        <w:tc>
          <w:tcPr>
            <w:tcW w:w="18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(1,496)</w:t>
            </w:r>
          </w:p>
        </w:tc>
        <w:tc>
          <w:tcPr>
            <w:tcW w:w="12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1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1260" w:type="dxa"/>
            <w:vAlign w:val="bottom"/>
            <w:tcBorders>
              <w:bottom w:val="single" w:sz="8" w:color="auto"/>
            </w:tcBorders>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140" w:type="dxa"/>
            <w:vAlign w:val="bottom"/>
            <w:tcBorders>
              <w:bottom w:val="single" w:sz="8" w:color="auto"/>
            </w:tcBorders>
            <w:shd w:val="clear" w:color="auto" w:fill="F8F4F1"/>
          </w:tcPr>
          <w:p>
            <w:pPr>
              <w:spacing w:after="0"/>
              <w:rPr>
                <w:sz w:val="21"/>
                <w:szCs w:val="21"/>
                <w:color w:val="auto"/>
              </w:rPr>
            </w:pPr>
          </w:p>
        </w:tc>
      </w:tr>
      <w:tr>
        <w:trPr>
          <w:trHeight w:val="128"/>
        </w:trPr>
        <w:tc>
          <w:tcPr>
            <w:tcW w:w="5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43"/>
        </w:trPr>
        <w:tc>
          <w:tcPr>
            <w:tcW w:w="5400" w:type="dxa"/>
            <w:vAlign w:val="bottom"/>
            <w:shd w:val="clear" w:color="auto" w:fill="F8F4F1"/>
          </w:tcPr>
          <w:p>
            <w:pPr>
              <w:spacing w:after="0"/>
              <w:rPr>
                <w:sz w:val="20"/>
                <w:szCs w:val="20"/>
                <w:color w:val="auto"/>
              </w:rPr>
            </w:pPr>
            <w:r>
              <w:rPr>
                <w:rFonts w:ascii="Times New Roman" w:cs="Times New Roman" w:eastAsia="Times New Roman" w:hAnsi="Times New Roman"/>
                <w:sz w:val="18"/>
                <w:szCs w:val="18"/>
                <w:b w:val="1"/>
                <w:bCs w:val="1"/>
                <w:color w:val="auto"/>
              </w:rPr>
              <w:t>Property NOI</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82,003</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75,057</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91,148</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83,267</w:t>
            </w:r>
          </w:p>
        </w:tc>
      </w:tr>
      <w:tr>
        <w:trPr>
          <w:trHeight w:val="108"/>
        </w:trPr>
        <w:tc>
          <w:tcPr>
            <w:tcW w:w="5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43"/>
        </w:trPr>
        <w:tc>
          <w:tcPr>
            <w:tcW w:w="5400" w:type="dxa"/>
            <w:vAlign w:val="bottom"/>
            <w:shd w:val="clear" w:color="auto" w:fill="F8F4F1"/>
          </w:tcPr>
          <w:p>
            <w:pPr>
              <w:ind w:left="160"/>
              <w:spacing w:after="0"/>
              <w:rPr>
                <w:sz w:val="20"/>
                <w:szCs w:val="20"/>
                <w:color w:val="auto"/>
              </w:rPr>
            </w:pPr>
            <w:r>
              <w:rPr>
                <w:rFonts w:ascii="Times New Roman" w:cs="Times New Roman" w:eastAsia="Times New Roman" w:hAnsi="Times New Roman"/>
                <w:sz w:val="18"/>
                <w:szCs w:val="18"/>
                <w:color w:val="auto"/>
              </w:rPr>
              <w:t>Net operating (income)/loss from:</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spacing w:after="0"/>
              <w:rPr>
                <w:sz w:val="21"/>
                <w:szCs w:val="21"/>
                <w:color w:val="auto"/>
              </w:rPr>
            </w:pPr>
          </w:p>
        </w:tc>
      </w:tr>
      <w:tr>
        <w:trPr>
          <w:trHeight w:val="243"/>
        </w:trPr>
        <w:tc>
          <w:tcPr>
            <w:tcW w:w="5400" w:type="dxa"/>
            <w:vAlign w:val="bottom"/>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Acquisitions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shd w:val="clear" w:color="auto" w:fill="F8F4F1"/>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Dispositions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(72)</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400" w:type="dxa"/>
            <w:vAlign w:val="bottom"/>
            <w:tcBorders>
              <w:bottom w:val="single" w:sz="8" w:color="F8F4F1"/>
            </w:tcBorders>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(5)</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(1,022)</w:t>
            </w:r>
          </w:p>
        </w:tc>
        <w:tc>
          <w:tcPr>
            <w:tcW w:w="120" w:type="dxa"/>
            <w:vAlign w:val="bottom"/>
            <w:tcBorders>
              <w:bottom w:val="single" w:sz="8" w:color="F8F4F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F8F4F1"/>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(1,815)</w:t>
            </w:r>
          </w:p>
        </w:tc>
        <w:tc>
          <w:tcPr>
            <w:tcW w:w="120" w:type="dxa"/>
            <w:vAlign w:val="bottom"/>
            <w:tcBorders>
              <w:bottom w:val="single" w:sz="8" w:color="F8F4F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0"/>
        </w:trPr>
        <w:tc>
          <w:tcPr>
            <w:tcW w:w="540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spacing w:after="0"/>
              <w:rPr>
                <w:sz w:val="21"/>
                <w:szCs w:val="2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Store NOI</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80,709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88,947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83,203</w:t>
            </w:r>
          </w:p>
        </w:tc>
      </w:tr>
      <w:tr>
        <w:trPr>
          <w:trHeight w:val="20"/>
        </w:trPr>
        <w:tc>
          <w:tcPr>
            <w:tcW w:w="5400" w:type="dxa"/>
            <w:vAlign w:val="bottom"/>
            <w:tcBorders>
              <w:bottom w:val="single" w:sz="8" w:color="F8F4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5400" w:type="dxa"/>
            <w:vAlign w:val="bottom"/>
            <w:shd w:val="clear" w:color="auto" w:fill="F8F4F1"/>
          </w:tcPr>
          <w:p>
            <w:pPr>
              <w:spacing w:after="0"/>
              <w:rPr>
                <w:sz w:val="6"/>
                <w:szCs w:val="6"/>
                <w:color w:val="auto"/>
              </w:rPr>
            </w:pPr>
          </w:p>
        </w:tc>
        <w:tc>
          <w:tcPr>
            <w:tcW w:w="180" w:type="dxa"/>
            <w:vAlign w:val="bottom"/>
            <w:shd w:val="clear" w:color="auto" w:fill="F8F4F1"/>
          </w:tcPr>
          <w:p>
            <w:pPr>
              <w:spacing w:after="0"/>
              <w:rPr>
                <w:sz w:val="6"/>
                <w:szCs w:val="6"/>
                <w:color w:val="auto"/>
              </w:rPr>
            </w:pPr>
          </w:p>
        </w:tc>
        <w:tc>
          <w:tcPr>
            <w:tcW w:w="1240" w:type="dxa"/>
            <w:vAlign w:val="bottom"/>
            <w:shd w:val="clear" w:color="auto" w:fill="F8F4F1"/>
          </w:tcPr>
          <w:p>
            <w:pPr>
              <w:spacing w:after="0"/>
              <w:rPr>
                <w:sz w:val="6"/>
                <w:szCs w:val="6"/>
                <w:color w:val="auto"/>
              </w:rPr>
            </w:pPr>
          </w:p>
        </w:tc>
        <w:tc>
          <w:tcPr>
            <w:tcW w:w="120" w:type="dxa"/>
            <w:vAlign w:val="bottom"/>
            <w:shd w:val="clear" w:color="auto" w:fill="F8F4F1"/>
          </w:tcPr>
          <w:p>
            <w:pPr>
              <w:spacing w:after="0"/>
              <w:rPr>
                <w:sz w:val="6"/>
                <w:szCs w:val="6"/>
                <w:color w:val="auto"/>
              </w:rPr>
            </w:pPr>
          </w:p>
        </w:tc>
        <w:tc>
          <w:tcPr>
            <w:tcW w:w="140" w:type="dxa"/>
            <w:vAlign w:val="bottom"/>
            <w:shd w:val="clear" w:color="auto" w:fill="F8F4F1"/>
          </w:tcPr>
          <w:p>
            <w:pPr>
              <w:spacing w:after="0"/>
              <w:rPr>
                <w:sz w:val="6"/>
                <w:szCs w:val="6"/>
                <w:color w:val="auto"/>
              </w:rPr>
            </w:pPr>
          </w:p>
        </w:tc>
        <w:tc>
          <w:tcPr>
            <w:tcW w:w="1140" w:type="dxa"/>
            <w:vAlign w:val="bottom"/>
            <w:shd w:val="clear" w:color="auto" w:fill="F8F4F1"/>
          </w:tcPr>
          <w:p>
            <w:pPr>
              <w:spacing w:after="0"/>
              <w:rPr>
                <w:sz w:val="6"/>
                <w:szCs w:val="6"/>
                <w:color w:val="auto"/>
              </w:rPr>
            </w:pPr>
          </w:p>
        </w:tc>
        <w:tc>
          <w:tcPr>
            <w:tcW w:w="120" w:type="dxa"/>
            <w:vAlign w:val="bottom"/>
            <w:shd w:val="clear" w:color="auto" w:fill="F8F4F1"/>
          </w:tcPr>
          <w:p>
            <w:pPr>
              <w:spacing w:after="0"/>
              <w:rPr>
                <w:sz w:val="6"/>
                <w:szCs w:val="6"/>
                <w:color w:val="auto"/>
              </w:rPr>
            </w:pPr>
          </w:p>
        </w:tc>
        <w:tc>
          <w:tcPr>
            <w:tcW w:w="180" w:type="dxa"/>
            <w:vAlign w:val="bottom"/>
            <w:shd w:val="clear" w:color="auto" w:fill="F8F4F1"/>
          </w:tcPr>
          <w:p>
            <w:pPr>
              <w:spacing w:after="0"/>
              <w:rPr>
                <w:sz w:val="6"/>
                <w:szCs w:val="6"/>
                <w:color w:val="auto"/>
              </w:rPr>
            </w:pPr>
          </w:p>
        </w:tc>
        <w:tc>
          <w:tcPr>
            <w:tcW w:w="1260" w:type="dxa"/>
            <w:vAlign w:val="bottom"/>
            <w:shd w:val="clear" w:color="auto" w:fill="F8F4F1"/>
          </w:tcPr>
          <w:p>
            <w:pPr>
              <w:spacing w:after="0"/>
              <w:rPr>
                <w:sz w:val="6"/>
                <w:szCs w:val="6"/>
                <w:color w:val="auto"/>
              </w:rPr>
            </w:pPr>
          </w:p>
        </w:tc>
        <w:tc>
          <w:tcPr>
            <w:tcW w:w="120" w:type="dxa"/>
            <w:vAlign w:val="bottom"/>
            <w:shd w:val="clear" w:color="auto" w:fill="F8F4F1"/>
          </w:tcPr>
          <w:p>
            <w:pPr>
              <w:spacing w:after="0"/>
              <w:rPr>
                <w:sz w:val="6"/>
                <w:szCs w:val="6"/>
                <w:color w:val="auto"/>
              </w:rPr>
            </w:pPr>
          </w:p>
        </w:tc>
        <w:tc>
          <w:tcPr>
            <w:tcW w:w="140" w:type="dxa"/>
            <w:vAlign w:val="bottom"/>
            <w:shd w:val="clear" w:color="auto" w:fill="F8F4F1"/>
          </w:tcPr>
          <w:p>
            <w:pPr>
              <w:spacing w:after="0"/>
              <w:rPr>
                <w:sz w:val="6"/>
                <w:szCs w:val="6"/>
                <w:color w:val="auto"/>
              </w:rPr>
            </w:pPr>
          </w:p>
        </w:tc>
        <w:tc>
          <w:tcPr>
            <w:tcW w:w="1140" w:type="dxa"/>
            <w:vAlign w:val="bottom"/>
            <w:shd w:val="clear" w:color="auto" w:fill="F8F4F1"/>
          </w:tcPr>
          <w:p>
            <w:pPr>
              <w:spacing w:after="0"/>
              <w:rPr>
                <w:sz w:val="6"/>
                <w:szCs w:val="6"/>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period over period in Same Store NOI</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7.5 %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i w:val="1"/>
                <w:iCs w:val="1"/>
                <w:color w:val="auto"/>
              </w:rPr>
              <w:t>N/A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6.9 %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N/A</w:t>
            </w:r>
          </w:p>
        </w:tc>
      </w:tr>
    </w:tbl>
    <w:p>
      <w:pPr>
        <w:spacing w:after="0" w:line="200" w:lineRule="exact"/>
        <w:rPr>
          <w:sz w:val="20"/>
          <w:szCs w:val="20"/>
          <w:color w:val="auto"/>
        </w:rPr>
      </w:pPr>
    </w:p>
    <w:p>
      <w:pPr>
        <w:spacing w:after="0" w:line="232" w:lineRule="exact"/>
        <w:rPr>
          <w:sz w:val="20"/>
          <w:szCs w:val="20"/>
          <w:color w:val="auto"/>
        </w:rPr>
      </w:pPr>
    </w:p>
    <w:p>
      <w:pPr>
        <w:jc w:val="both"/>
        <w:ind w:left="660" w:hanging="652"/>
        <w:spacing w:after="0" w:line="245" w:lineRule="auto"/>
        <w:tabs>
          <w:tab w:leader="none" w:pos="6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Earnings Before Interest, Taxes, Depreciation, and Amortization-Real Estate ("EBITDAre") in accordance with the current NAREIT definition. NAREIT currently defines EBITDAre as net income/(loss) (computed in accordance with GAAP) adjusted for gains or losses from sales of property, impairment charges, depreciation on real estate assets, amortization on real estate assets, interest expense and taxes, along with the same adjustments for joint ventures. Some of the adjustments mentioned can vary among owners of identical assets in similar conditions based on historical cost accounting and useful-life estimates. EBITDAre is a non-GAAP financial measure and should not be viewed as an alternative to net income calculated in accordance with GAAP as a measurement of our operating performance. We believe that EBITDAre is helpful to investors as a supplemental performance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6"/>
          <w:szCs w:val="16"/>
          <w:color w:val="auto"/>
        </w:rPr>
        <w:t>measure because it provides a metric for understanding our results from ongoing operations without taking into account the effects of non-cash expenses (such as depreciation and amortization) and capitalization and capital structure expenses (such as interest expense and taxes). We also believe that EBITDAre can help facilitate comparisons of operating performance between periods and with other REITs. However, other REITs may not define EBITDAre in accordance with the NAREIT definition, or may interpret the current NAREIT definition differently than us; therefore, our computation of EBITDAre may not be comparable to that of such other REITs.</w:t>
      </w:r>
    </w:p>
    <w:p>
      <w:pPr>
        <w:spacing w:after="0" w:line="18" w:lineRule="exact"/>
        <w:rPr>
          <w:sz w:val="20"/>
          <w:szCs w:val="20"/>
          <w:color w:val="auto"/>
        </w:rPr>
      </w:pPr>
    </w:p>
    <w:p>
      <w:pPr>
        <w:jc w:val="both"/>
        <w:ind w:left="660" w:hanging="652"/>
        <w:spacing w:after="0" w:line="247"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Core Earnings Before Interest, Taxes, Depreciation, and Amortization ("Core EBITDA") as net income/(loss) (computed in accordance with GAAP) before interest, taxes, depreciation and amortization and incrementally removing any impairment charges, gains or losses from sales of property, loss on early extinguishment of debt, and other significant infrequent items that create volatility within our earnings and make it difficult to determine the earnings generated by our core ongoing business. Core EBITDA is a non-GAAP financial measure and should not be viewed as an alternative to net income calculated in accordance with GAAP as a measurement of our operating performance. We believe that Core EBITDA is helpful to investors as a supplemental performance measure because it provides a metric for understanding the performance of our results from ongoing operations without taking into account the effects of non-cash expenses (such as depreciation and amortization), as well as items that are not part of normal day-to-day operations of our business. Other REITs may not define Core EBITDA in the same manner as we do; therefore, our computation of Core EBITDA may not be comparable to that of other REITs.</w:t>
      </w:r>
    </w:p>
    <w:p>
      <w:pPr>
        <w:spacing w:after="0" w:line="1" w:lineRule="exact"/>
        <w:rPr>
          <w:rFonts w:ascii="Times New Roman" w:cs="Times New Roman" w:eastAsia="Times New Roman" w:hAnsi="Times New Roman"/>
          <w:sz w:val="21"/>
          <w:szCs w:val="21"/>
          <w:color w:val="auto"/>
          <w:vertAlign w:val="superscript"/>
        </w:rPr>
      </w:pPr>
    </w:p>
    <w:p>
      <w:pPr>
        <w:ind w:left="640" w:hanging="632"/>
        <w:spacing w:after="0"/>
        <w:tabs>
          <w:tab w:leader="none" w:pos="6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Presented net of related operating expenses incurred to earn such management fee revenue.</w:t>
      </w:r>
    </w:p>
    <w:p>
      <w:pPr>
        <w:spacing w:after="0" w:line="50" w:lineRule="exact"/>
        <w:rPr>
          <w:rFonts w:ascii="Times New Roman" w:cs="Times New Roman" w:eastAsia="Times New Roman" w:hAnsi="Times New Roman"/>
          <w:sz w:val="21"/>
          <w:szCs w:val="21"/>
          <w:color w:val="auto"/>
          <w:vertAlign w:val="superscript"/>
        </w:rPr>
      </w:pPr>
    </w:p>
    <w:p>
      <w:pPr>
        <w:ind w:left="660" w:right="20" w:hanging="652"/>
        <w:spacing w:after="0" w:line="222"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Dispositions include the Royal Lane land parcel, sold in the third quarter of 2026, 80 and 90 Central, sold in the second quarter of 2025, and 161 Corporate Center, sold in the first quarter of 2025.</w:t>
      </w:r>
    </w:p>
    <w:p>
      <w:pPr>
        <w:spacing w:after="0" w:line="33" w:lineRule="exact"/>
        <w:rPr>
          <w:rFonts w:ascii="Times New Roman" w:cs="Times New Roman" w:eastAsia="Times New Roman" w:hAnsi="Times New Roman"/>
          <w:sz w:val="21"/>
          <w:szCs w:val="21"/>
          <w:color w:val="auto"/>
          <w:vertAlign w:val="superscript"/>
        </w:rPr>
      </w:pPr>
    </w:p>
    <w:p>
      <w:pPr>
        <w:ind w:left="660" w:right="20" w:hanging="652"/>
        <w:spacing w:after="0" w:line="232"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investments include active or recently completed out of service redevelopment projects and unsold land parcels. The operating results from a portion of The Exchange in Orlando, Florida, as well as Meridian and 9320 Excelsior Boulevard in suburban Minneapolis, Minnesota are included in this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loss calculated in accordance with GAAP to EBITDAre, Core EBITDA, Property NOI, and Same Store NOI, on both a cash and accrual basis, for the nine months ended September 30, 2026 and 2025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Cash Basis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Accrual Basis</w:t>
            </w: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4"/>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3"/>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38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40" w:type="dxa"/>
            <w:vAlign w:val="bottom"/>
          </w:tcPr>
          <w:p>
            <w:pPr>
              <w:jc w:val="right"/>
              <w:ind w:right="112"/>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5"/>
        </w:trPr>
        <w:tc>
          <w:tcPr>
            <w:tcW w:w="5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5400" w:type="dxa"/>
            <w:vAlign w:val="bottom"/>
            <w:shd w:val="clear" w:color="auto" w:fill="F8F4F1"/>
          </w:tcPr>
          <w:p>
            <w:pPr>
              <w:spacing w:after="0"/>
              <w:rPr>
                <w:sz w:val="20"/>
                <w:szCs w:val="20"/>
                <w:color w:val="auto"/>
              </w:rPr>
            </w:pPr>
            <w:r>
              <w:rPr>
                <w:rFonts w:ascii="Times New Roman" w:cs="Times New Roman" w:eastAsia="Times New Roman" w:hAnsi="Times New Roman"/>
                <w:sz w:val="18"/>
                <w:szCs w:val="18"/>
                <w:b w:val="1"/>
                <w:bCs w:val="1"/>
                <w:color w:val="auto"/>
              </w:rPr>
              <w:t>Net loss applicable to Piedmont (GAAP basis)</w:t>
            </w: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(45,043)</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(40,374)</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(45,043)</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(40,374)</w:t>
            </w:r>
          </w:p>
        </w:tc>
      </w:tr>
      <w:tr>
        <w:trPr>
          <w:trHeight w:val="149"/>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Net income applicable to noncontrolling interest</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95,829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95,829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95,599</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134,975</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123,666</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134,975</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123,666</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43,795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43,795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45,395</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Gain on sale of real estate assets</w:t>
            </w:r>
          </w:p>
        </w:tc>
        <w:tc>
          <w:tcPr>
            <w:tcW w:w="18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shd w:val="clear" w:color="auto" w:fill="F8F4F1"/>
          </w:tcPr>
          <w:p>
            <w:pPr>
              <w:spacing w:after="0"/>
              <w:rPr>
                <w:sz w:val="21"/>
                <w:szCs w:val="21"/>
                <w:color w:val="auto"/>
              </w:rPr>
            </w:pPr>
          </w:p>
        </w:tc>
        <w:tc>
          <w:tcPr>
            <w:tcW w:w="480" w:type="dxa"/>
            <w:vAlign w:val="bottom"/>
            <w:tcBorders>
              <w:bottom w:val="single" w:sz="8" w:color="auto"/>
            </w:tcBorders>
            <w:shd w:val="clear" w:color="auto" w:fill="F8F4F1"/>
          </w:tcPr>
          <w:p>
            <w:pPr>
              <w:spacing w:after="0"/>
              <w:rPr>
                <w:sz w:val="21"/>
                <w:szCs w:val="21"/>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1260" w:type="dxa"/>
            <w:vAlign w:val="bottom"/>
            <w:tcBorders>
              <w:bottom w:val="single" w:sz="8" w:color="auto"/>
            </w:tcBorders>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(8,878)</w:t>
            </w:r>
          </w:p>
        </w:tc>
        <w:tc>
          <w:tcPr>
            <w:tcW w:w="12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1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129"/>
        </w:trPr>
        <w:tc>
          <w:tcPr>
            <w:tcW w:w="5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43"/>
        </w:trPr>
        <w:tc>
          <w:tcPr>
            <w:tcW w:w="5400" w:type="dxa"/>
            <w:vAlign w:val="bottom"/>
            <w:shd w:val="clear" w:color="auto" w:fill="F8F4F1"/>
          </w:tcPr>
          <w:p>
            <w:pPr>
              <w:spacing w:after="0"/>
              <w:rPr>
                <w:sz w:val="20"/>
                <w:szCs w:val="20"/>
                <w:color w:val="auto"/>
              </w:rPr>
            </w:pPr>
            <w:r>
              <w:rPr>
                <w:rFonts w:ascii="Times New Roman" w:cs="Times New Roman" w:eastAsia="Times New Roman" w:hAnsi="Times New Roman"/>
                <w:sz w:val="18"/>
                <w:szCs w:val="18"/>
                <w:b w:val="1"/>
                <w:bCs w:val="1"/>
                <w:color w:val="auto"/>
              </w:rPr>
              <w:t>EBITDAre</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220,685</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222,286</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220,685</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222,286</w:t>
            </w:r>
          </w:p>
        </w:tc>
      </w:tr>
      <w:tr>
        <w:trPr>
          <w:trHeight w:val="243"/>
        </w:trPr>
        <w:tc>
          <w:tcPr>
            <w:tcW w:w="5400" w:type="dxa"/>
            <w:vAlign w:val="bottom"/>
            <w:tcBorders>
              <w:bottom w:val="single" w:sz="8" w:color="F8F4F1"/>
            </w:tcBorders>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tcBorders>
              <w:bottom w:val="single" w:sz="8" w:color="F8F4F1"/>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bottom w:val="single" w:sz="8" w:color="F8F4F1"/>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20,236</w:t>
            </w:r>
          </w:p>
        </w:tc>
        <w:tc>
          <w:tcPr>
            <w:tcW w:w="120" w:type="dxa"/>
            <w:vAlign w:val="bottom"/>
            <w:tcBorders>
              <w:bottom w:val="single" w:sz="8" w:color="F8F4F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128"/>
        </w:trPr>
        <w:tc>
          <w:tcPr>
            <w:tcW w:w="5400" w:type="dxa"/>
            <w:vAlign w:val="bottom"/>
            <w:shd w:val="clear" w:color="auto" w:fill="F8F4F1"/>
          </w:tcPr>
          <w:p>
            <w:pPr>
              <w:spacing w:after="0"/>
              <w:rPr>
                <w:sz w:val="11"/>
                <w:szCs w:val="11"/>
                <w:color w:val="auto"/>
              </w:rPr>
            </w:pPr>
          </w:p>
        </w:tc>
        <w:tc>
          <w:tcPr>
            <w:tcW w:w="180" w:type="dxa"/>
            <w:vAlign w:val="bottom"/>
            <w:shd w:val="clear" w:color="auto" w:fill="F8F4F1"/>
          </w:tcPr>
          <w:p>
            <w:pPr>
              <w:spacing w:after="0"/>
              <w:rPr>
                <w:sz w:val="11"/>
                <w:szCs w:val="11"/>
                <w:color w:val="auto"/>
              </w:rPr>
            </w:pPr>
          </w:p>
        </w:tc>
        <w:tc>
          <w:tcPr>
            <w:tcW w:w="1240" w:type="dxa"/>
            <w:vAlign w:val="bottom"/>
            <w:shd w:val="clear" w:color="auto" w:fill="F8F4F1"/>
          </w:tcPr>
          <w:p>
            <w:pPr>
              <w:spacing w:after="0"/>
              <w:rPr>
                <w:sz w:val="11"/>
                <w:szCs w:val="11"/>
                <w:color w:val="auto"/>
              </w:rPr>
            </w:pPr>
          </w:p>
        </w:tc>
        <w:tc>
          <w:tcPr>
            <w:tcW w:w="120" w:type="dxa"/>
            <w:vAlign w:val="bottom"/>
            <w:shd w:val="clear" w:color="auto" w:fill="F8F4F1"/>
          </w:tcPr>
          <w:p>
            <w:pPr>
              <w:spacing w:after="0"/>
              <w:rPr>
                <w:sz w:val="11"/>
                <w:szCs w:val="11"/>
                <w:color w:val="auto"/>
              </w:rPr>
            </w:pPr>
          </w:p>
        </w:tc>
        <w:tc>
          <w:tcPr>
            <w:tcW w:w="480" w:type="dxa"/>
            <w:vAlign w:val="bottom"/>
            <w:shd w:val="clear" w:color="auto" w:fill="F8F4F1"/>
          </w:tcPr>
          <w:p>
            <w:pPr>
              <w:spacing w:after="0"/>
              <w:rPr>
                <w:sz w:val="11"/>
                <w:szCs w:val="11"/>
                <w:color w:val="auto"/>
              </w:rPr>
            </w:pPr>
          </w:p>
        </w:tc>
        <w:tc>
          <w:tcPr>
            <w:tcW w:w="800" w:type="dxa"/>
            <w:vAlign w:val="bottom"/>
            <w:shd w:val="clear" w:color="auto" w:fill="F8F4F1"/>
          </w:tcPr>
          <w:p>
            <w:pPr>
              <w:spacing w:after="0"/>
              <w:rPr>
                <w:sz w:val="11"/>
                <w:szCs w:val="11"/>
                <w:color w:val="auto"/>
              </w:rPr>
            </w:pPr>
          </w:p>
        </w:tc>
        <w:tc>
          <w:tcPr>
            <w:tcW w:w="120" w:type="dxa"/>
            <w:vAlign w:val="bottom"/>
            <w:shd w:val="clear" w:color="auto" w:fill="F8F4F1"/>
          </w:tcPr>
          <w:p>
            <w:pPr>
              <w:spacing w:after="0"/>
              <w:rPr>
                <w:sz w:val="11"/>
                <w:szCs w:val="11"/>
                <w:color w:val="auto"/>
              </w:rPr>
            </w:pPr>
          </w:p>
        </w:tc>
        <w:tc>
          <w:tcPr>
            <w:tcW w:w="180" w:type="dxa"/>
            <w:vAlign w:val="bottom"/>
            <w:shd w:val="clear" w:color="auto" w:fill="F8F4F1"/>
          </w:tcPr>
          <w:p>
            <w:pPr>
              <w:spacing w:after="0"/>
              <w:rPr>
                <w:sz w:val="11"/>
                <w:szCs w:val="11"/>
                <w:color w:val="auto"/>
              </w:rPr>
            </w:pPr>
          </w:p>
        </w:tc>
        <w:tc>
          <w:tcPr>
            <w:tcW w:w="1260" w:type="dxa"/>
            <w:vAlign w:val="bottom"/>
            <w:shd w:val="clear" w:color="auto" w:fill="F8F4F1"/>
          </w:tcPr>
          <w:p>
            <w:pPr>
              <w:spacing w:after="0"/>
              <w:rPr>
                <w:sz w:val="11"/>
                <w:szCs w:val="11"/>
                <w:color w:val="auto"/>
              </w:rPr>
            </w:pPr>
          </w:p>
        </w:tc>
        <w:tc>
          <w:tcPr>
            <w:tcW w:w="120" w:type="dxa"/>
            <w:vAlign w:val="bottom"/>
            <w:shd w:val="clear" w:color="auto" w:fill="F8F4F1"/>
          </w:tcPr>
          <w:p>
            <w:pPr>
              <w:spacing w:after="0"/>
              <w:rPr>
                <w:sz w:val="11"/>
                <w:szCs w:val="11"/>
                <w:color w:val="auto"/>
              </w:rPr>
            </w:pPr>
          </w:p>
        </w:tc>
        <w:tc>
          <w:tcPr>
            <w:tcW w:w="140" w:type="dxa"/>
            <w:vAlign w:val="bottom"/>
            <w:shd w:val="clear" w:color="auto" w:fill="F8F4F1"/>
          </w:tcPr>
          <w:p>
            <w:pPr>
              <w:spacing w:after="0"/>
              <w:rPr>
                <w:sz w:val="11"/>
                <w:szCs w:val="11"/>
                <w:color w:val="auto"/>
              </w:rPr>
            </w:pPr>
          </w:p>
        </w:tc>
        <w:tc>
          <w:tcPr>
            <w:tcW w:w="1140" w:type="dxa"/>
            <w:vAlign w:val="bottom"/>
            <w:shd w:val="clear" w:color="auto" w:fill="F8F4F1"/>
          </w:tcPr>
          <w:p>
            <w:pPr>
              <w:spacing w:after="0"/>
              <w:rPr>
                <w:sz w:val="11"/>
                <w:szCs w:val="1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Core EBITDA</w:t>
            </w:r>
          </w:p>
        </w:tc>
        <w:tc>
          <w:tcPr>
            <w:tcW w:w="18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240,921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240,921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230,286</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25,203</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25,203</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23,130</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Management fee revenue</w:t>
            </w:r>
          </w:p>
        </w:tc>
        <w:tc>
          <w:tcPr>
            <w:tcW w:w="1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(468)</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(468)</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Straight-line effects of lease revenue</w:t>
            </w:r>
          </w:p>
        </w:tc>
        <w:tc>
          <w:tcPr>
            <w:tcW w:w="1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(17,382)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Amortization of lease-related intangibles</w:t>
            </w:r>
          </w:p>
        </w:tc>
        <w:tc>
          <w:tcPr>
            <w:tcW w:w="180" w:type="dxa"/>
            <w:vAlign w:val="bottom"/>
            <w:tcBorders>
              <w:bottom w:val="single" w:sz="8" w:color="auto"/>
            </w:tcBorders>
            <w:shd w:val="clear" w:color="auto" w:fill="F8F4F1"/>
          </w:tcPr>
          <w:p>
            <w:pPr>
              <w:spacing w:after="0"/>
              <w:rPr>
                <w:sz w:val="21"/>
                <w:szCs w:val="21"/>
                <w:color w:val="auto"/>
              </w:rPr>
            </w:pPr>
          </w:p>
        </w:tc>
        <w:tc>
          <w:tcPr>
            <w:tcW w:w="1240" w:type="dxa"/>
            <w:vAlign w:val="bottom"/>
            <w:tcBorders>
              <w:bottom w:val="single" w:sz="8" w:color="auto"/>
            </w:tcBorders>
            <w:shd w:val="clear" w:color="auto" w:fill="F8F4F1"/>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(5,096)</w:t>
            </w:r>
          </w:p>
        </w:tc>
        <w:tc>
          <w:tcPr>
            <w:tcW w:w="120" w:type="dxa"/>
            <w:vAlign w:val="bottom"/>
            <w:shd w:val="clear" w:color="auto" w:fill="F8F4F1"/>
          </w:tcPr>
          <w:p>
            <w:pPr>
              <w:spacing w:after="0"/>
              <w:rPr>
                <w:sz w:val="21"/>
                <w:szCs w:val="21"/>
                <w:color w:val="auto"/>
              </w:rPr>
            </w:pPr>
          </w:p>
        </w:tc>
        <w:tc>
          <w:tcPr>
            <w:tcW w:w="480" w:type="dxa"/>
            <w:vAlign w:val="bottom"/>
            <w:tcBorders>
              <w:bottom w:val="single" w:sz="8" w:color="auto"/>
            </w:tcBorders>
            <w:shd w:val="clear" w:color="auto" w:fill="F8F4F1"/>
          </w:tcPr>
          <w:p>
            <w:pPr>
              <w:spacing w:after="0"/>
              <w:rPr>
                <w:sz w:val="21"/>
                <w:szCs w:val="21"/>
                <w:color w:val="auto"/>
              </w:rPr>
            </w:pPr>
          </w:p>
        </w:tc>
        <w:tc>
          <w:tcPr>
            <w:tcW w:w="80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shd w:val="clear" w:color="auto" w:fill="F8F4F1"/>
          </w:tcPr>
          <w:p>
            <w:pPr>
              <w:spacing w:after="0"/>
              <w:rPr>
                <w:sz w:val="21"/>
                <w:szCs w:val="21"/>
                <w:color w:val="auto"/>
              </w:rPr>
            </w:pPr>
          </w:p>
        </w:tc>
        <w:tc>
          <w:tcPr>
            <w:tcW w:w="180" w:type="dxa"/>
            <w:vAlign w:val="bottom"/>
            <w:tcBorders>
              <w:bottom w:val="single" w:sz="8" w:color="auto"/>
            </w:tcBorders>
            <w:shd w:val="clear" w:color="auto" w:fill="F8F4F1"/>
          </w:tcPr>
          <w:p>
            <w:pPr>
              <w:spacing w:after="0"/>
              <w:rPr>
                <w:sz w:val="21"/>
                <w:szCs w:val="21"/>
                <w:color w:val="auto"/>
              </w:rPr>
            </w:pPr>
          </w:p>
        </w:tc>
        <w:tc>
          <w:tcPr>
            <w:tcW w:w="1260" w:type="dxa"/>
            <w:vAlign w:val="bottom"/>
            <w:tcBorders>
              <w:bottom w:val="single" w:sz="8" w:color="auto"/>
            </w:tcBorders>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tcBorders>
              <w:bottom w:val="single" w:sz="8" w:color="auto"/>
            </w:tcBorders>
            <w:shd w:val="clear" w:color="auto" w:fill="F8F4F1"/>
          </w:tcPr>
          <w:p>
            <w:pPr>
              <w:spacing w:after="0"/>
              <w:rPr>
                <w:sz w:val="21"/>
                <w:szCs w:val="21"/>
                <w:color w:val="auto"/>
              </w:rPr>
            </w:pPr>
          </w:p>
        </w:tc>
        <w:tc>
          <w:tcPr>
            <w:tcW w:w="1140" w:type="dxa"/>
            <w:vAlign w:val="bottom"/>
            <w:tcBorders>
              <w:bottom w:val="single" w:sz="8" w:color="auto"/>
            </w:tcBorders>
            <w:shd w:val="clear" w:color="auto" w:fill="F8F4F1"/>
          </w:tcPr>
          <w:p>
            <w:pPr>
              <w:spacing w:after="0"/>
              <w:rPr>
                <w:sz w:val="21"/>
                <w:szCs w:val="21"/>
                <w:color w:val="auto"/>
              </w:rPr>
            </w:pPr>
          </w:p>
        </w:tc>
      </w:tr>
      <w:tr>
        <w:trPr>
          <w:trHeight w:val="129"/>
        </w:trPr>
        <w:tc>
          <w:tcPr>
            <w:tcW w:w="5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43"/>
        </w:trPr>
        <w:tc>
          <w:tcPr>
            <w:tcW w:w="5400" w:type="dxa"/>
            <w:vAlign w:val="bottom"/>
            <w:shd w:val="clear" w:color="auto" w:fill="F8F4F1"/>
          </w:tcPr>
          <w:p>
            <w:pPr>
              <w:spacing w:after="0"/>
              <w:rPr>
                <w:sz w:val="20"/>
                <w:szCs w:val="20"/>
                <w:color w:val="auto"/>
              </w:rPr>
            </w:pPr>
            <w:r>
              <w:rPr>
                <w:rFonts w:ascii="Times New Roman" w:cs="Times New Roman" w:eastAsia="Times New Roman" w:hAnsi="Times New Roman"/>
                <w:sz w:val="18"/>
                <w:szCs w:val="18"/>
                <w:b w:val="1"/>
                <w:bCs w:val="1"/>
                <w:color w:val="auto"/>
              </w:rPr>
              <w:t>Property NOI</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242,745</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221,929</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265,223</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252,798</w:t>
            </w:r>
          </w:p>
        </w:tc>
      </w:tr>
      <w:tr>
        <w:trPr>
          <w:trHeight w:val="108"/>
        </w:trPr>
        <w:tc>
          <w:tcPr>
            <w:tcW w:w="5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43"/>
        </w:trPr>
        <w:tc>
          <w:tcPr>
            <w:tcW w:w="5400" w:type="dxa"/>
            <w:vAlign w:val="bottom"/>
            <w:shd w:val="clear" w:color="auto" w:fill="F8F4F1"/>
          </w:tcPr>
          <w:p>
            <w:pPr>
              <w:ind w:left="160"/>
              <w:spacing w:after="0"/>
              <w:rPr>
                <w:sz w:val="20"/>
                <w:szCs w:val="20"/>
                <w:color w:val="auto"/>
              </w:rPr>
            </w:pPr>
            <w:r>
              <w:rPr>
                <w:rFonts w:ascii="Times New Roman" w:cs="Times New Roman" w:eastAsia="Times New Roman" w:hAnsi="Times New Roman"/>
                <w:sz w:val="18"/>
                <w:szCs w:val="18"/>
                <w:color w:val="auto"/>
              </w:rPr>
              <w:t>Net operating income from:</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spacing w:after="0"/>
              <w:rPr>
                <w:sz w:val="21"/>
                <w:szCs w:val="21"/>
                <w:color w:val="auto"/>
              </w:rPr>
            </w:pP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spacing w:after="0"/>
              <w:rPr>
                <w:sz w:val="21"/>
                <w:szCs w:val="21"/>
                <w:color w:val="auto"/>
              </w:rPr>
            </w:pPr>
          </w:p>
        </w:tc>
      </w:tr>
      <w:tr>
        <w:trPr>
          <w:trHeight w:val="243"/>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00" w:type="dxa"/>
            <w:vAlign w:val="bottom"/>
            <w:shd w:val="clear" w:color="auto" w:fill="F8F4F1"/>
          </w:tcPr>
          <w:p>
            <w:pPr>
              <w:ind w:left="34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shd w:val="clear" w:color="auto" w:fill="F8F4F1"/>
          </w:tcPr>
          <w:p>
            <w:pPr>
              <w:spacing w:after="0"/>
              <w:rPr>
                <w:sz w:val="21"/>
                <w:szCs w:val="21"/>
                <w:color w:val="auto"/>
              </w:rPr>
            </w:pPr>
          </w:p>
        </w:tc>
        <w:tc>
          <w:tcPr>
            <w:tcW w:w="124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F8F4F1"/>
          </w:tcPr>
          <w:p>
            <w:pPr>
              <w:spacing w:after="0"/>
              <w:rPr>
                <w:sz w:val="21"/>
                <w:szCs w:val="21"/>
                <w:color w:val="auto"/>
              </w:rPr>
            </w:pPr>
          </w:p>
        </w:tc>
        <w:tc>
          <w:tcPr>
            <w:tcW w:w="480" w:type="dxa"/>
            <w:vAlign w:val="bottom"/>
            <w:shd w:val="clear" w:color="auto" w:fill="F8F4F1"/>
          </w:tcPr>
          <w:p>
            <w:pPr>
              <w:spacing w:after="0"/>
              <w:rPr>
                <w:sz w:val="21"/>
                <w:szCs w:val="21"/>
                <w:color w:val="auto"/>
              </w:rPr>
            </w:pPr>
          </w:p>
        </w:tc>
        <w:tc>
          <w:tcPr>
            <w:tcW w:w="80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F8F4F1"/>
          </w:tcPr>
          <w:p>
            <w:pPr>
              <w:spacing w:after="0"/>
              <w:rPr>
                <w:sz w:val="21"/>
                <w:szCs w:val="21"/>
                <w:color w:val="auto"/>
              </w:rPr>
            </w:pPr>
          </w:p>
        </w:tc>
        <w:tc>
          <w:tcPr>
            <w:tcW w:w="180" w:type="dxa"/>
            <w:vAlign w:val="bottom"/>
            <w:shd w:val="clear" w:color="auto" w:fill="F8F4F1"/>
          </w:tcPr>
          <w:p>
            <w:pPr>
              <w:spacing w:after="0"/>
              <w:rPr>
                <w:sz w:val="21"/>
                <w:szCs w:val="21"/>
                <w:color w:val="auto"/>
              </w:rPr>
            </w:pPr>
          </w:p>
        </w:tc>
        <w:tc>
          <w:tcPr>
            <w:tcW w:w="1260" w:type="dxa"/>
            <w:vAlign w:val="bottom"/>
            <w:shd w:val="clear" w:color="auto" w:fill="F8F4F1"/>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F8F4F1"/>
          </w:tcPr>
          <w:p>
            <w:pPr>
              <w:spacing w:after="0"/>
              <w:rPr>
                <w:sz w:val="21"/>
                <w:szCs w:val="21"/>
                <w:color w:val="auto"/>
              </w:rPr>
            </w:pPr>
          </w:p>
        </w:tc>
        <w:tc>
          <w:tcPr>
            <w:tcW w:w="140" w:type="dxa"/>
            <w:vAlign w:val="bottom"/>
            <w:shd w:val="clear" w:color="auto" w:fill="F8F4F1"/>
          </w:tcPr>
          <w:p>
            <w:pPr>
              <w:spacing w:after="0"/>
              <w:rPr>
                <w:sz w:val="21"/>
                <w:szCs w:val="21"/>
                <w:color w:val="auto"/>
              </w:rPr>
            </w:pPr>
          </w:p>
        </w:tc>
        <w:tc>
          <w:tcPr>
            <w:tcW w:w="1140" w:type="dxa"/>
            <w:vAlign w:val="bottom"/>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43"/>
        </w:trPr>
        <w:tc>
          <w:tcPr>
            <w:tcW w:w="5400" w:type="dxa"/>
            <w:vAlign w:val="bottom"/>
            <w:tcBorders>
              <w:bottom w:val="single" w:sz="8" w:color="F8F4F1"/>
            </w:tcBorders>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(1,855)</w:t>
            </w:r>
          </w:p>
        </w:tc>
        <w:tc>
          <w:tcPr>
            <w:tcW w:w="120" w:type="dxa"/>
            <w:vAlign w:val="bottom"/>
            <w:tcBorders>
              <w:bottom w:val="single" w:sz="8" w:color="F8F4F1"/>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F8F4F1"/>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(4,238)</w:t>
            </w:r>
          </w:p>
        </w:tc>
        <w:tc>
          <w:tcPr>
            <w:tcW w:w="120" w:type="dxa"/>
            <w:vAlign w:val="bottom"/>
            <w:tcBorders>
              <w:bottom w:val="single" w:sz="8" w:color="F8F4F1"/>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88"/>
        </w:trPr>
        <w:tc>
          <w:tcPr>
            <w:tcW w:w="5400" w:type="dxa"/>
            <w:vAlign w:val="bottom"/>
            <w:shd w:val="clear" w:color="auto" w:fill="F8F4F1"/>
          </w:tcPr>
          <w:p>
            <w:pPr>
              <w:spacing w:after="0"/>
              <w:rPr>
                <w:sz w:val="7"/>
                <w:szCs w:val="7"/>
                <w:color w:val="auto"/>
              </w:rPr>
            </w:pPr>
          </w:p>
        </w:tc>
        <w:tc>
          <w:tcPr>
            <w:tcW w:w="180" w:type="dxa"/>
            <w:vAlign w:val="bottom"/>
            <w:shd w:val="clear" w:color="auto" w:fill="F8F4F1"/>
          </w:tcPr>
          <w:p>
            <w:pPr>
              <w:spacing w:after="0"/>
              <w:rPr>
                <w:sz w:val="7"/>
                <w:szCs w:val="7"/>
                <w:color w:val="auto"/>
              </w:rPr>
            </w:pPr>
          </w:p>
        </w:tc>
        <w:tc>
          <w:tcPr>
            <w:tcW w:w="1240" w:type="dxa"/>
            <w:vAlign w:val="bottom"/>
            <w:shd w:val="clear" w:color="auto" w:fill="F8F4F1"/>
          </w:tcPr>
          <w:p>
            <w:pPr>
              <w:spacing w:after="0"/>
              <w:rPr>
                <w:sz w:val="7"/>
                <w:szCs w:val="7"/>
                <w:color w:val="auto"/>
              </w:rPr>
            </w:pPr>
          </w:p>
        </w:tc>
        <w:tc>
          <w:tcPr>
            <w:tcW w:w="120" w:type="dxa"/>
            <w:vAlign w:val="bottom"/>
            <w:shd w:val="clear" w:color="auto" w:fill="F8F4F1"/>
          </w:tcPr>
          <w:p>
            <w:pPr>
              <w:spacing w:after="0"/>
              <w:rPr>
                <w:sz w:val="7"/>
                <w:szCs w:val="7"/>
                <w:color w:val="auto"/>
              </w:rPr>
            </w:pPr>
          </w:p>
        </w:tc>
        <w:tc>
          <w:tcPr>
            <w:tcW w:w="480" w:type="dxa"/>
            <w:vAlign w:val="bottom"/>
            <w:shd w:val="clear" w:color="auto" w:fill="F8F4F1"/>
          </w:tcPr>
          <w:p>
            <w:pPr>
              <w:spacing w:after="0"/>
              <w:rPr>
                <w:sz w:val="7"/>
                <w:szCs w:val="7"/>
                <w:color w:val="auto"/>
              </w:rPr>
            </w:pPr>
          </w:p>
        </w:tc>
        <w:tc>
          <w:tcPr>
            <w:tcW w:w="800" w:type="dxa"/>
            <w:vAlign w:val="bottom"/>
            <w:shd w:val="clear" w:color="auto" w:fill="F8F4F1"/>
          </w:tcPr>
          <w:p>
            <w:pPr>
              <w:spacing w:after="0"/>
              <w:rPr>
                <w:sz w:val="7"/>
                <w:szCs w:val="7"/>
                <w:color w:val="auto"/>
              </w:rPr>
            </w:pPr>
          </w:p>
        </w:tc>
        <w:tc>
          <w:tcPr>
            <w:tcW w:w="120" w:type="dxa"/>
            <w:vAlign w:val="bottom"/>
            <w:shd w:val="clear" w:color="auto" w:fill="F8F4F1"/>
          </w:tcPr>
          <w:p>
            <w:pPr>
              <w:spacing w:after="0"/>
              <w:rPr>
                <w:sz w:val="7"/>
                <w:szCs w:val="7"/>
                <w:color w:val="auto"/>
              </w:rPr>
            </w:pPr>
          </w:p>
        </w:tc>
        <w:tc>
          <w:tcPr>
            <w:tcW w:w="180" w:type="dxa"/>
            <w:vAlign w:val="bottom"/>
            <w:shd w:val="clear" w:color="auto" w:fill="F8F4F1"/>
          </w:tcPr>
          <w:p>
            <w:pPr>
              <w:spacing w:after="0"/>
              <w:rPr>
                <w:sz w:val="7"/>
                <w:szCs w:val="7"/>
                <w:color w:val="auto"/>
              </w:rPr>
            </w:pPr>
          </w:p>
        </w:tc>
        <w:tc>
          <w:tcPr>
            <w:tcW w:w="1260" w:type="dxa"/>
            <w:vAlign w:val="bottom"/>
            <w:shd w:val="clear" w:color="auto" w:fill="F8F4F1"/>
          </w:tcPr>
          <w:p>
            <w:pPr>
              <w:spacing w:after="0"/>
              <w:rPr>
                <w:sz w:val="7"/>
                <w:szCs w:val="7"/>
                <w:color w:val="auto"/>
              </w:rPr>
            </w:pPr>
          </w:p>
        </w:tc>
        <w:tc>
          <w:tcPr>
            <w:tcW w:w="120" w:type="dxa"/>
            <w:vAlign w:val="bottom"/>
            <w:shd w:val="clear" w:color="auto" w:fill="F8F4F1"/>
          </w:tcPr>
          <w:p>
            <w:pPr>
              <w:spacing w:after="0"/>
              <w:rPr>
                <w:sz w:val="7"/>
                <w:szCs w:val="7"/>
                <w:color w:val="auto"/>
              </w:rPr>
            </w:pPr>
          </w:p>
        </w:tc>
        <w:tc>
          <w:tcPr>
            <w:tcW w:w="140" w:type="dxa"/>
            <w:vAlign w:val="bottom"/>
            <w:shd w:val="clear" w:color="auto" w:fill="F8F4F1"/>
          </w:tcPr>
          <w:p>
            <w:pPr>
              <w:spacing w:after="0"/>
              <w:rPr>
                <w:sz w:val="7"/>
                <w:szCs w:val="7"/>
                <w:color w:val="auto"/>
              </w:rPr>
            </w:pPr>
          </w:p>
        </w:tc>
        <w:tc>
          <w:tcPr>
            <w:tcW w:w="1140" w:type="dxa"/>
            <w:vAlign w:val="bottom"/>
            <w:shd w:val="clear" w:color="auto" w:fill="F8F4F1"/>
          </w:tcPr>
          <w:p>
            <w:pPr>
              <w:spacing w:after="0"/>
              <w:rPr>
                <w:sz w:val="7"/>
                <w:szCs w:val="7"/>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Store NOI</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240,704</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220,524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260,685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251,036</w:t>
            </w:r>
          </w:p>
        </w:tc>
      </w:tr>
      <w:tr>
        <w:trPr>
          <w:trHeight w:val="20"/>
        </w:trPr>
        <w:tc>
          <w:tcPr>
            <w:tcW w:w="5400" w:type="dxa"/>
            <w:vAlign w:val="bottom"/>
            <w:tcBorders>
              <w:bottom w:val="single" w:sz="8" w:color="F8F4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8F4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5400" w:type="dxa"/>
            <w:vAlign w:val="bottom"/>
            <w:shd w:val="clear" w:color="auto" w:fill="F8F4F1"/>
          </w:tcPr>
          <w:p>
            <w:pPr>
              <w:spacing w:after="0"/>
              <w:rPr>
                <w:sz w:val="6"/>
                <w:szCs w:val="6"/>
                <w:color w:val="auto"/>
              </w:rPr>
            </w:pPr>
          </w:p>
        </w:tc>
        <w:tc>
          <w:tcPr>
            <w:tcW w:w="180" w:type="dxa"/>
            <w:vAlign w:val="bottom"/>
            <w:shd w:val="clear" w:color="auto" w:fill="F8F4F1"/>
          </w:tcPr>
          <w:p>
            <w:pPr>
              <w:spacing w:after="0"/>
              <w:rPr>
                <w:sz w:val="6"/>
                <w:szCs w:val="6"/>
                <w:color w:val="auto"/>
              </w:rPr>
            </w:pPr>
          </w:p>
        </w:tc>
        <w:tc>
          <w:tcPr>
            <w:tcW w:w="1240" w:type="dxa"/>
            <w:vAlign w:val="bottom"/>
            <w:shd w:val="clear" w:color="auto" w:fill="F8F4F1"/>
          </w:tcPr>
          <w:p>
            <w:pPr>
              <w:spacing w:after="0"/>
              <w:rPr>
                <w:sz w:val="6"/>
                <w:szCs w:val="6"/>
                <w:color w:val="auto"/>
              </w:rPr>
            </w:pPr>
          </w:p>
        </w:tc>
        <w:tc>
          <w:tcPr>
            <w:tcW w:w="120" w:type="dxa"/>
            <w:vAlign w:val="bottom"/>
            <w:shd w:val="clear" w:color="auto" w:fill="F8F4F1"/>
          </w:tcPr>
          <w:p>
            <w:pPr>
              <w:spacing w:after="0"/>
              <w:rPr>
                <w:sz w:val="6"/>
                <w:szCs w:val="6"/>
                <w:color w:val="auto"/>
              </w:rPr>
            </w:pPr>
          </w:p>
        </w:tc>
        <w:tc>
          <w:tcPr>
            <w:tcW w:w="480" w:type="dxa"/>
            <w:vAlign w:val="bottom"/>
            <w:shd w:val="clear" w:color="auto" w:fill="F8F4F1"/>
          </w:tcPr>
          <w:p>
            <w:pPr>
              <w:spacing w:after="0"/>
              <w:rPr>
                <w:sz w:val="6"/>
                <w:szCs w:val="6"/>
                <w:color w:val="auto"/>
              </w:rPr>
            </w:pPr>
          </w:p>
        </w:tc>
        <w:tc>
          <w:tcPr>
            <w:tcW w:w="800" w:type="dxa"/>
            <w:vAlign w:val="bottom"/>
            <w:shd w:val="clear" w:color="auto" w:fill="F8F4F1"/>
          </w:tcPr>
          <w:p>
            <w:pPr>
              <w:spacing w:after="0"/>
              <w:rPr>
                <w:sz w:val="6"/>
                <w:szCs w:val="6"/>
                <w:color w:val="auto"/>
              </w:rPr>
            </w:pPr>
          </w:p>
        </w:tc>
        <w:tc>
          <w:tcPr>
            <w:tcW w:w="120" w:type="dxa"/>
            <w:vAlign w:val="bottom"/>
            <w:shd w:val="clear" w:color="auto" w:fill="F8F4F1"/>
          </w:tcPr>
          <w:p>
            <w:pPr>
              <w:spacing w:after="0"/>
              <w:rPr>
                <w:sz w:val="6"/>
                <w:szCs w:val="6"/>
                <w:color w:val="auto"/>
              </w:rPr>
            </w:pPr>
          </w:p>
        </w:tc>
        <w:tc>
          <w:tcPr>
            <w:tcW w:w="180" w:type="dxa"/>
            <w:vAlign w:val="bottom"/>
            <w:shd w:val="clear" w:color="auto" w:fill="F8F4F1"/>
          </w:tcPr>
          <w:p>
            <w:pPr>
              <w:spacing w:after="0"/>
              <w:rPr>
                <w:sz w:val="6"/>
                <w:szCs w:val="6"/>
                <w:color w:val="auto"/>
              </w:rPr>
            </w:pPr>
          </w:p>
        </w:tc>
        <w:tc>
          <w:tcPr>
            <w:tcW w:w="1260" w:type="dxa"/>
            <w:vAlign w:val="bottom"/>
            <w:shd w:val="clear" w:color="auto" w:fill="F8F4F1"/>
          </w:tcPr>
          <w:p>
            <w:pPr>
              <w:spacing w:after="0"/>
              <w:rPr>
                <w:sz w:val="6"/>
                <w:szCs w:val="6"/>
                <w:color w:val="auto"/>
              </w:rPr>
            </w:pPr>
          </w:p>
        </w:tc>
        <w:tc>
          <w:tcPr>
            <w:tcW w:w="120" w:type="dxa"/>
            <w:vAlign w:val="bottom"/>
            <w:shd w:val="clear" w:color="auto" w:fill="F8F4F1"/>
          </w:tcPr>
          <w:p>
            <w:pPr>
              <w:spacing w:after="0"/>
              <w:rPr>
                <w:sz w:val="6"/>
                <w:szCs w:val="6"/>
                <w:color w:val="auto"/>
              </w:rPr>
            </w:pPr>
          </w:p>
        </w:tc>
        <w:tc>
          <w:tcPr>
            <w:tcW w:w="140" w:type="dxa"/>
            <w:vAlign w:val="bottom"/>
            <w:shd w:val="clear" w:color="auto" w:fill="F8F4F1"/>
          </w:tcPr>
          <w:p>
            <w:pPr>
              <w:spacing w:after="0"/>
              <w:rPr>
                <w:sz w:val="6"/>
                <w:szCs w:val="6"/>
                <w:color w:val="auto"/>
              </w:rPr>
            </w:pPr>
          </w:p>
        </w:tc>
        <w:tc>
          <w:tcPr>
            <w:tcW w:w="1140" w:type="dxa"/>
            <w:vAlign w:val="bottom"/>
            <w:shd w:val="clear" w:color="auto" w:fill="F8F4F1"/>
          </w:tcPr>
          <w:p>
            <w:pPr>
              <w:spacing w:after="0"/>
              <w:rPr>
                <w:sz w:val="6"/>
                <w:szCs w:val="6"/>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period over period in Same Store NOI</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9.2 %</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i w:val="1"/>
                <w:iCs w:val="1"/>
                <w:color w:val="auto"/>
              </w:rPr>
              <w:t>N/A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N/A</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portfolio consists of office projects located within identified growth submarkets of large metropolitan cities concentrated primarily in the Sunbelt. We typically lease space to creditworthy corporate or governmental tenants on a long-term basis. As of September 30, 2026, our average lease was approximately 13,000 square feet with approximately six years of lease term remaining. Leased percentage, as well as rent roll-ups and roll downs which we experience as a result of re-leasing, can fluctuate widely between buildings and between tenants, depending on when a particular lease is scheduled to commence or expire.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Leased Percentage</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in-service portfolio was 87.7% leased as of September 30, 2026, as compared to 89.6% leased as of December 31, 2025. The decrease is attributable to net expiring square footage outweighing newly leased square footage related to previously vacant space, as well as the acquisition of 83% leased 4075 Wilson Boulevard during the three months ended September 30, 2026. As of September 30, 2026, scheduled lease expirations for the remainder of 2026 and 2027 represented approximately 6% and 8% of our ALR, respectively. To the extent that square footage from new leases for currently vacant space in our in-service portfolio exceeds or falls short of the square footage associated with non-renewing expirations, such leases would increase or decrease our in-service leased percentage, respectively. As of September 30, 2026, two projects, 9320 Excelsior Boulevard and Meridian, both in suburban Minneapolis, Minnesota, were classified as out of service as they have recently undergone redevelopment to convert from single tenant occupancy to multi-tenant occupancy. Collectively, these out of service projects were approximately 84.7% leased as of September 30, 2026, with the majority of those leases anticipated to commence by the end of 2026 or early 2027.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Downtime, Abatement Periods, and Rental Rate Changes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Commencement of a lease associated with a new tenant typically occurs 6-18 months after the lease execution date, after refurbishment of the space is completed. The downtime between a lease expiration and the new lease's commencement can negatively impact Property NOI and Same Store NOI comparisons (both accrual and cash basis). In addition, office leases for both new and renewing tenants often contain upfront rental and/or operating expense abatement periods which may delay the cash flow benefits of the lease even after the new or renewed lease has commenced, negatively impacting Property NOI and Same Store NOI on a cash basis until such abatements expire. As of September 30, 2026, we had approximately 0.7 million square feet of executed leases for vacant space that are yet to commence representing approximately $29.3 million of future additional annual cash rents, and approximately 1.2 million square feet of executed leases currently under rental abatement, representing approximately $32.0 million of future additional annual cash rents.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replace expiring leases with new or renewal leases at rental rates equal to or greater than the expiring rates, rental rate roll-downs could occur and negatively impact Property NOI and Same Store NOI comparisons. As discussed above, our diverse portfolio and the magnitude of some of our tenants' leased spaces can result in rent roll-ups and roll-downs that can fluctuate widely on a project-by-project and a quarter-to-quarter basis. During the three months ended September 30, 2026, we experienced a 26.2% and 34.6% roll-up on a cash and accrual basis, respectively, on executed leases related to space vacant one year or less.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Same Store NOI increased by 7.5% and 6.9% on a cash and accrual basis, respectively, as rental rates increased and the commencement or burn off of abatements on new leases outweighed expiring leases. Same Store NOI comparisons for any given period fluctuate as a result of the mix of net leasing activity in individual properties during the respective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as a REIT</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elected to be taxed as a REIT under the Code and have operated as such beginning with our taxable year ended December 31, 1998. To qualify as a REIT, we must meet certain organizational and operational requirements, including a requirement to distribute at least 90% of our adjusted REIT taxable income, computed without regard to the dividends-paid deduction and by excluding net capital gains attributable to our stockholders, as defined by the Code. As a REIT, we generally will not be subject to federal income tax on income that we distribute to our stockholders. If we fail to qualify as a REIT in any taxable year, we may be subject to federal income taxes on our taxable income for that year and for the four years following the year during which qualification is lost and/or penalties, unless the IRS grants us relief under certain statutory provisions. Such an event could materially adversely affect our net loss and net cash available for distribution to our stockholders. However, we believe that we are organized and operate in such a manner as to qualify for treatment as a REIT and intend to continue to operate in the foreseeable future in such a manner that we will remain qualified as a REIT for federal income tax purposes. We have elected to treat one of our wholly owned subsidiaries as a taxable REIT subsidiary ("TRS"). Our TRS performs non-customary services for tenants of buildings that we own, including real estate and non-real estate related services. Any earnings related to such services performed by our TRS are subject to federal and state income taxes. In addition, for us to continue to qualify as a REIT, our investments in TRS cannot exceed 20% of the value of our total assets.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inflation risk, as income from long-term leases is the primary source of our cash flows from operations. There are provisions in the majority of our tenant leases that are intended to protect us from, and mitigate the risk of, the impact of inflation. These provisions include rent steps, reimbursement billings for operating expense pass-through charges, real estate tax, and insurance on a per square-foot basis, or in some cases, annual reimbursement of operating expenses above certain per square-foot allowances. However, due to the long-term nature of the leases, the leases may not readjust their reimbursement rates frequently enough to fully cover inflation.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accounting policies have been established to conform with GAAP. The preparation of financial statements in conformity with GAAP requires management to use judgment in the application of accounting policies, including making estimates and assumptions. These judgments affect the reported amounts of assets and liabilities and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thus, resulting in a different presentation of the financial statements. Additionally, other companies may utilize different estimates that may impact comparability of our results of operations to those of companies in similar businesses. Refer to our Annual Report on Form 10-K for the year ended December 31, 2025 for a discussion of our critical accounting policies and estimates. There have been no material changes to these policies during the nine months ended September 30,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are subject to certain commitments and contingencies with regard to certain transactions. Refer to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our consolidated financial statements for further explanation.</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income, cash flows, and estimated fair values of our financial instruments depend in part upon prevailing market interest rates. Market risk is the exposure to loss resulting from changes in interest rates, foreign currency exchange rates, commodity prices, and equity prices. As of September 30, 2026, our primary market risk is our exposure to interest rate fluctuations in connection with any future borrowings under our $600 Million Unsecured 2022 Line of Credit and $200 million of our $400 Million Unsecured 2026 Term Loan. Many factors, including governmental monetary and tax policies, domestic and international economic and political considerations, and other factors that are beyond our control contribute to interest rate risk, including changes in the method pursuant to which SOFR rates are determined.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interest rate risk management objectives are to limit the impact of interest rate changes on earnings and cash flow primarily through a low-to-moderate level of overall borrowings, as well as managing the portion of our outstanding debt that is subject to interest rate fluctuations. As such, all of our debt as of September 30, 2026, other than our line of credit facility and a portion of the term loan mentioned above, is currently based on fixed, or effectively fixed, interest rates to hedge against volatility in the credit markets. We may periodically enter into additional interest rate hedging arrangements to manage our interest rate exposure associated with variable-rate borrowings. The timing and amount of any future hedging activity will depend on several factors, including market conditions, our view of interest rate risk, and our overall financing strategy. We do not enter into derivative or interest rate transactions for speculative purposes.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debt was approximately $2.3 billion as of September 30, 2026 and December 31, 2025. Our interest rate swap agreements in place as of September 30, 2026 and December 31, 2025 carried a notional amount totaling $200 million and $325 million, respectively, with a weighted-average fixed interest rate of 4.94% and 5.38%,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our total outstanding debt subject to fixed, or effectively fixed, interest rates totaled approximately $2.0 billion and had an average effective interest rate of approximately 4.74% per annum with contractual expirations, not including extension options, ranging from 2028 to 2033. A change in the market interest rate would impact the relative fair value of our fixed-rate debt portfolio but has no impact on interest incurred or cash flows for that portfolio.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$152 million was outstanding under our $600 Million Unsecured 2022 Line of Credit which has a stated variable rate of SOFR plus 1.05% per annum (based on our current credit rating as defined in the credit agreement). Additionally, the unhedged portion of our $400 Million Unsecured 2026 Term Loan currently has a stated variable rate of SOFR plus 1.15% per annum (based on our current credit rating as defined in the term loan agreement). These two facilities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comprise our exposure to increases in interest rates, which would potentially increase our cost of debt. A 1.0% increase in variable interest rates on our existing outstanding borrowings as of September 30, 2026 would increase interest expense approximately $3.5 million on a per annum basis.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Conclusions Regarding the Effectiveness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defined in Rules 13a-15(e) and 15d-15(e) of the Securities Exchange Act of 1934 (the “Exchange Act”) as of the end of the quarterly period covered by this report. Based upon that evaluation, the Principal Executive Officer and the Principal Financial Officer concluded that our disclosure controls and procedures were effective as of the end of the period covered by this quarterly report in providing a reasonable level of assurance that information we are required to disclose in the reports we file or submit under the Exchange Act is recorded, processed, summarized, and reported within the time periods specified in applicable SEC rules and forms, including providing a reasonable level of assurance that information required to be disclosed by us in the reports we file under the Exchange Act is accumulated and communicated to our management, including the Principal Executive Officer and the Principal Financial Officer, as appropriate, to allow timely decisions regarding required disclosure.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pending legal proceedings. However, we are subject to routine litigation arising in the ordinary course of owning and operating real estate assets. Our management expects that these ordinary routine legal proceedings will be covered by insurance and does not expect these legal proceedings to have a material adverse effect on our financial condition, results of operations, or liquidity. Additionally, management is not aware of any legal proceedings against Piedmont contemplated by governmental authorities.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known material changes from the risk factors previously disclosed in our Annual Report on Form 10-K for the year ended December 31,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unregistered sales of equity securities during the third quarter of 2026.</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information with respect to Piedmont OP’s repurchases of shares of Piedmont’s common stock during the three months ended September 30,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80" w:type="dxa"/>
            <w:vAlign w:val="bottom"/>
            <w:gridSpan w:val="2"/>
            <w:vMerge w:val="continue"/>
          </w:tcPr>
          <w:p>
            <w:pPr>
              <w:spacing w:after="0"/>
              <w:rPr>
                <w:sz w:val="12"/>
                <w:szCs w:val="12"/>
                <w:color w:val="auto"/>
              </w:rPr>
            </w:pPr>
          </w:p>
        </w:tc>
        <w:tc>
          <w:tcPr>
            <w:tcW w:w="2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approximately dollar value) of</w:t>
            </w:r>
          </w:p>
        </w:tc>
        <w:tc>
          <w:tcPr>
            <w:tcW w:w="0" w:type="dxa"/>
            <w:vAlign w:val="bottom"/>
          </w:tcPr>
          <w:p>
            <w:pPr>
              <w:spacing w:after="0"/>
              <w:rPr>
                <w:sz w:val="1"/>
                <w:szCs w:val="1"/>
                <w:color w:val="auto"/>
              </w:rPr>
            </w:pPr>
          </w:p>
        </w:tc>
      </w:tr>
      <w:tr>
        <w:trPr>
          <w:trHeight w:val="148"/>
        </w:trPr>
        <w:tc>
          <w:tcPr>
            <w:tcW w:w="266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203"/>
        </w:trPr>
        <w:tc>
          <w:tcPr>
            <w:tcW w:w="266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tcPr>
          <w:p>
            <w:pPr>
              <w:jc w:val="right"/>
              <w:ind w:right="39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F8F4F1"/>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Borders>
              <w:bottom w:val="single" w:sz="8" w:color="F8F4F1"/>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Borders>
              <w:bottom w:val="single" w:sz="8" w:color="F8F4F1"/>
            </w:tcBorders>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37"/>
        </w:trPr>
        <w:tc>
          <w:tcPr>
            <w:tcW w:w="26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July 1 to July 31</w:t>
            </w:r>
          </w:p>
        </w:tc>
        <w:tc>
          <w:tcPr>
            <w:tcW w:w="184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F8F4F1"/>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F8F4F1"/>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F8F4F1"/>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F8F4F1"/>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to August 31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shd w:val="clear" w:color="auto" w:fill="F8F4F1"/>
          </w:tcPr>
          <w:p>
            <w:pPr>
              <w:ind w:left="20"/>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74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5,434,782</w:t>
            </w:r>
          </w:p>
        </w:tc>
        <w:tc>
          <w:tcPr>
            <w:tcW w:w="100" w:type="dxa"/>
            <w:vAlign w:val="bottom"/>
            <w:shd w:val="clear" w:color="auto" w:fill="F8F4F1"/>
          </w:tcPr>
          <w:p>
            <w:pPr>
              <w:spacing w:after="0"/>
              <w:rPr>
                <w:sz w:val="21"/>
                <w:szCs w:val="21"/>
                <w:color w:val="auto"/>
              </w:rPr>
            </w:pPr>
          </w:p>
        </w:tc>
        <w:tc>
          <w:tcPr>
            <w:tcW w:w="360" w:type="dxa"/>
            <w:vAlign w:val="bottom"/>
            <w:tcBorders>
              <w:bottom w:val="single" w:sz="8" w:color="auto"/>
            </w:tcBorders>
            <w:shd w:val="clear" w:color="auto" w:fill="F8F4F1"/>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F8F4F1"/>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F8F4F1"/>
          </w:tcPr>
          <w:p>
            <w:pPr>
              <w:spacing w:after="0"/>
              <w:rPr>
                <w:sz w:val="21"/>
                <w:szCs w:val="21"/>
                <w:color w:val="auto"/>
              </w:rPr>
            </w:pPr>
          </w:p>
        </w:tc>
        <w:tc>
          <w:tcPr>
            <w:tcW w:w="1980" w:type="dxa"/>
            <w:vAlign w:val="bottom"/>
            <w:tcBorders>
              <w:bottom w:val="single" w:sz="8" w:color="auto"/>
            </w:tcBorders>
            <w:shd w:val="clear" w:color="auto" w:fill="F8F4F1"/>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F8F4F1"/>
          </w:tcPr>
          <w:p>
            <w:pPr>
              <w:spacing w:after="0"/>
              <w:rPr>
                <w:sz w:val="21"/>
                <w:szCs w:val="21"/>
                <w:color w:val="auto"/>
              </w:rPr>
            </w:pPr>
          </w:p>
        </w:tc>
        <w:tc>
          <w:tcPr>
            <w:tcW w:w="2260" w:type="dxa"/>
            <w:vAlign w:val="bottom"/>
            <w:tcBorders>
              <w:bottom w:val="single" w:sz="8" w:color="auto"/>
            </w:tcBorders>
            <w:shd w:val="clear" w:color="auto" w:fill="F8F4F1"/>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5,434,782</w:t>
            </w:r>
          </w:p>
        </w:tc>
        <w:tc>
          <w:tcPr>
            <w:tcW w:w="10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9.20</w:t>
            </w:r>
          </w:p>
        </w:tc>
        <w:tc>
          <w:tcPr>
            <w:tcW w:w="80" w:type="dxa"/>
            <w:vAlign w:val="bottom"/>
          </w:tcPr>
          <w:p>
            <w:pPr>
              <w:spacing w:after="0"/>
              <w:rPr>
                <w:sz w:val="20"/>
                <w:szCs w:val="20"/>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N/A</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660" w:hanging="652"/>
        <w:spacing w:after="0" w:line="231" w:lineRule="auto"/>
        <w:tabs>
          <w:tab w:leader="none" w:pos="37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 September 2026, Piedmont OP used a portion of the proceeds from the Exchangeable Notes offering to repurchase 5,434,782 shares of Piedmont’s common stock from certain purchasers of the Exchangeable Senior Notes in privately negotiated transactions. Such shares of common stock were not purchased pursuant to a publicly announced plan or program (see </w:t>
      </w:r>
      <w:r>
        <w:rPr>
          <w:rFonts w:ascii="Times New Roman" w:cs="Times New Roman" w:eastAsia="Times New Roman" w:hAnsi="Times New Roman"/>
          <w:sz w:val="16"/>
          <w:szCs w:val="16"/>
          <w:u w:val="single" w:color="auto"/>
          <w:color w:val="0000FF"/>
        </w:rPr>
        <w:t>Note 4</w:t>
      </w:r>
      <w:r>
        <w:rPr>
          <w:rFonts w:ascii="Times New Roman" w:cs="Times New Roman" w:eastAsia="Times New Roman" w:hAnsi="Times New Roman"/>
          <w:sz w:val="16"/>
          <w:szCs w:val="16"/>
          <w:color w:val="auto"/>
        </w:rPr>
        <w:t>).</w:t>
      </w: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2026, none of our directors or officers adopted or terminated a “Rule 10b5-1 trading arrangement” or a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740" w:type="dxa"/>
            <w:vAlign w:val="bottom"/>
            <w:gridSpan w:val="2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6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0" w:type="dxa"/>
            <w:vAlign w:val="bottom"/>
          </w:tcPr>
          <w:p>
            <w:pPr>
              <w:spacing w:after="0"/>
              <w:rPr>
                <w:sz w:val="13"/>
                <w:szCs w:val="13"/>
                <w:color w:val="auto"/>
              </w:rPr>
            </w:pPr>
          </w:p>
        </w:tc>
        <w:tc>
          <w:tcPr>
            <w:tcW w:w="7740" w:type="dxa"/>
            <w:vAlign w:val="bottom"/>
            <w:gridSpan w:val="2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60" w:type="dxa"/>
            <w:vAlign w:val="bottom"/>
            <w:vMerge w:val="restart"/>
          </w:tcPr>
          <w:p>
            <w:pPr>
              <w:spacing w:after="0" w:line="20" w:lineRule="exact"/>
              <w:rPr>
                <w:sz w:val="1"/>
                <w:szCs w:val="1"/>
                <w:color w:val="auto"/>
              </w:rPr>
            </w:pP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6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7"/>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Third Articles of Amendment and Restatement of Piedmont (incorporated by reference to Exhibit 3.1 to</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Piedmont’s Annual Report on Form 10-K for the fiscal year ended December 31, 2009, filed on March</w:t>
              </w:r>
            </w:hyperlink>
          </w:p>
        </w:tc>
        <w:tc>
          <w:tcPr>
            <w:tcW w:w="240" w:type="dxa"/>
            <w:vAlign w:val="bottom"/>
            <w:gridSpan w:val="6"/>
          </w:tcPr>
          <w:p>
            <w:pPr>
              <w:jc w:val="right"/>
              <w:ind w:right="80"/>
              <w:spacing w:after="0" w:line="156" w:lineRule="exact"/>
              <w:rPr>
                <w:rFonts w:ascii="Times New Roman" w:cs="Times New Roman" w:eastAsia="Times New Roman" w:hAnsi="Times New Roman"/>
                <w:sz w:val="15"/>
                <w:szCs w:val="15"/>
                <w:color w:val="0000FF"/>
                <w:w w:val="74"/>
              </w:rPr>
            </w:pPr>
            <w:hyperlink r:id="rId56">
              <w:r>
                <w:rPr>
                  <w:rFonts w:ascii="Times New Roman" w:cs="Times New Roman" w:eastAsia="Times New Roman" w:hAnsi="Times New Roman"/>
                  <w:sz w:val="15"/>
                  <w:szCs w:val="15"/>
                  <w:color w:val="0000FF"/>
                  <w:w w:val="74"/>
                </w:rPr>
                <w:t>16,</w:t>
              </w:r>
            </w:hyperlink>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56">
              <w:r>
                <w:rPr>
                  <w:rFonts w:ascii="Times New Roman" w:cs="Times New Roman" w:eastAsia="Times New Roman" w:hAnsi="Times New Roman"/>
                  <w:sz w:val="18"/>
                  <w:szCs w:val="18"/>
                  <w:color w:val="0000FF"/>
                  <w:w w:val="94"/>
                </w:rPr>
                <w:t>2010).</w:t>
              </w:r>
            </w:hyperlink>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Articles of Amendment to the Third Articles of Amendment and Restatement of Piedmont (incorporated</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by reference to Exhibit 3.2 to Piedmont's Current Report on Form 8-K filed on July 6, 2011)</w:t>
              </w:r>
            </w:hyperlink>
          </w:p>
        </w:tc>
        <w:tc>
          <w:tcPr>
            <w:tcW w:w="88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Articles Supplementary to the Third Articles of Amendment and Restatement of Piedmont, as amended</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(incorporated by reference to Exhibit 3.1 to Piedmont's Current Report on Form 8-K filed on July 6, 2011)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Articles Supplementary to the Third Articles of Amendment and Restatement of Piedmont, as</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supplemented and amended (incorporated by reference to Exhibit 3.1 to Piedmont's Current</w:t>
              </w:r>
            </w:hyperlink>
          </w:p>
        </w:tc>
        <w:tc>
          <w:tcPr>
            <w:tcW w:w="980" w:type="dxa"/>
            <w:vAlign w:val="bottom"/>
            <w:gridSpan w:val="17"/>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Report on</w:t>
              </w:r>
            </w:hyperlink>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Form 8-K, filed on November 14, 2016)</w:t>
              </w:r>
            </w:hyperlink>
          </w:p>
        </w:tc>
        <w:tc>
          <w:tcPr>
            <w:tcW w:w="4460" w:type="dxa"/>
            <w:vAlign w:val="bottom"/>
            <w:tcBorders>
              <w:top w:val="single" w:sz="8" w:color="0000FF"/>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Articles of Amendment to the Third Articles of Amendment and Restatement of Piedmont, as</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supplemented and amended (incorporated by reference to Exhibit 3.1 to Piedmont's Current</w:t>
              </w:r>
            </w:hyperlink>
          </w:p>
        </w:tc>
        <w:tc>
          <w:tcPr>
            <w:tcW w:w="1000" w:type="dxa"/>
            <w:vAlign w:val="bottom"/>
            <w:gridSpan w:val="18"/>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Report on</w:t>
              </w:r>
            </w:hyperlink>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8-K, filed on May 23, 2018)</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Articles of Amendment to the Third Articles of Amendment and Restatement of Piedmont, as</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supplemented and amended (incorporated by reference to Exhibit 3.1 to Piedmont's Current</w:t>
              </w:r>
            </w:hyperlink>
          </w:p>
        </w:tc>
        <w:tc>
          <w:tcPr>
            <w:tcW w:w="1000" w:type="dxa"/>
            <w:vAlign w:val="bottom"/>
            <w:gridSpan w:val="18"/>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Report on</w:t>
              </w:r>
            </w:hyperlink>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Form 8-K filed on June 9, 2025).</w:t>
              </w:r>
            </w:hyperlink>
          </w:p>
        </w:tc>
        <w:tc>
          <w:tcPr>
            <w:tcW w:w="4980" w:type="dxa"/>
            <w:vAlign w:val="bottom"/>
            <w:tcBorders>
              <w:top w:val="single" w:sz="8" w:color="0000FF"/>
            </w:tcBorders>
            <w:gridSpan w:val="14"/>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Second Amended and Restated Bylaws of Piedmont (incorporated by reference to Exhibit 3.2 to</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Piedmont’s Current Report on Form 8-K filed on June 9, 2025).</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Indenture, dated as of September 17, 2026, among Piedmont, Piedmont OP, and U.S. Bank Trust</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Company, National Association, as trustee (incorporated by reference to Exhibit 4.1 to Piedmont's</w:t>
              </w:r>
            </w:hyperlink>
          </w:p>
        </w:tc>
        <w:tc>
          <w:tcPr>
            <w:tcW w:w="780" w:type="dxa"/>
            <w:vAlign w:val="bottom"/>
            <w:gridSpan w:val="15"/>
          </w:tcPr>
          <w:p>
            <w:pPr>
              <w:ind w:left="140"/>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Current</w:t>
              </w:r>
            </w:hyperlink>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Report on Form 8-K filed on September 17, 2026).</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of certificate representing the 2.875% Exchangeable Senior Notes due 2031 (incorporated by</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reference to Exhibit A of Exhibit 4.1 to Piedmont's Current Report on Form 8-K filed on September</w:t>
              </w:r>
            </w:hyperlink>
          </w:p>
        </w:tc>
        <w:tc>
          <w:tcPr>
            <w:tcW w:w="360" w:type="dxa"/>
            <w:vAlign w:val="bottom"/>
            <w:gridSpan w:val="7"/>
          </w:tcPr>
          <w:p>
            <w:pPr>
              <w:jc w:val="right"/>
              <w:ind w:right="20"/>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17,</w:t>
              </w:r>
            </w:hyperlink>
          </w:p>
        </w:tc>
        <w:tc>
          <w:tcPr>
            <w:tcW w:w="8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63">
              <w:r>
                <w:rPr>
                  <w:rFonts w:ascii="Times New Roman" w:cs="Times New Roman" w:eastAsia="Times New Roman" w:hAnsi="Times New Roman"/>
                  <w:sz w:val="18"/>
                  <w:szCs w:val="18"/>
                  <w:color w:val="0000FF"/>
                  <w:w w:val="94"/>
                </w:rPr>
                <w:t>2026).</w:t>
              </w:r>
            </w:hyperlink>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7740" w:type="dxa"/>
            <w:vAlign w:val="bottom"/>
            <w:gridSpan w:val="27"/>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Registration Rights Agreement, dated as of September 17, 2026, among Piedmont, Piedmont OP, and the</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representatives of the initial purchasers (incorporated by reference to Exhibit 4.3 to Piedmont's Current</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Report on Form 8-K filed on September 17, 2026).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Subsidiary Issuer of Guaranteed Securities</w:t>
            </w:r>
          </w:p>
        </w:tc>
        <w:tc>
          <w:tcPr>
            <w:tcW w:w="40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5"/>
            <w:shd w:val="clear" w:color="auto" w:fill="0000FF"/>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Inline Document - the instance document does not appear in the Interactive Data File because its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306"/>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101.SCH</w:t>
            </w:r>
          </w:p>
        </w:tc>
        <w:tc>
          <w:tcPr>
            <w:tcW w:w="20" w:type="dxa"/>
            <w:vAlign w:val="bottom"/>
          </w:tcPr>
          <w:p>
            <w:pPr>
              <w:spacing w:after="0"/>
              <w:rPr>
                <w:sz w:val="24"/>
                <w:szCs w:val="24"/>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4"/>
              </w:rPr>
              <w:t>101.CAL</w:t>
            </w:r>
          </w:p>
        </w:tc>
        <w:tc>
          <w:tcPr>
            <w:tcW w:w="20" w:type="dxa"/>
            <w:vAlign w:val="bottom"/>
          </w:tcPr>
          <w:p>
            <w:pPr>
              <w:spacing w:after="0"/>
              <w:rPr>
                <w:sz w:val="24"/>
                <w:szCs w:val="24"/>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tcPr>
          <w:p>
            <w:pPr>
              <w:spacing w:after="0"/>
              <w:rPr>
                <w:sz w:val="24"/>
                <w:szCs w:val="24"/>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4"/>
              </w:rPr>
              <w:t>101.LAB</w:t>
            </w:r>
          </w:p>
        </w:tc>
        <w:tc>
          <w:tcPr>
            <w:tcW w:w="20" w:type="dxa"/>
            <w:vAlign w:val="bottom"/>
          </w:tcPr>
          <w:p>
            <w:pPr>
              <w:spacing w:after="0"/>
              <w:rPr>
                <w:sz w:val="24"/>
                <w:szCs w:val="24"/>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77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60" w:hanging="457"/>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p>
      <w:pPr>
        <w:ind w:left="220"/>
        <w:spacing w:after="0"/>
        <w:tabs>
          <w:tab w:leader="none" w:pos="5600" w:val="left"/>
          <w:tab w:leader="none" w:pos="6060" w:val="left"/>
        </w:tabs>
        <w:rPr>
          <w:sz w:val="20"/>
          <w:szCs w:val="20"/>
          <w:color w:val="auto"/>
        </w:rPr>
      </w:pPr>
      <w:r>
        <w:rPr>
          <w:rFonts w:ascii="Times New Roman" w:cs="Times New Roman" w:eastAsia="Times New Roman" w:hAnsi="Times New Roman"/>
          <w:sz w:val="18"/>
          <w:szCs w:val="18"/>
          <w:color w:val="auto"/>
        </w:rPr>
        <w:t>Dated: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Sherry L. Rexroad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658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Sherry L. Rexroad</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 and Executive Vice President</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Issuer of Guaranteed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Piedmont Operating Partnership, LP (“Piedmont OP”), a wholly-owned subsidiary of the registrant, Piedmont Realty Trust, Inc., is the issuer of (i) $400 million aggregate principal amount of 6.875% Senior Notes due 2029, (ii) $300 million aggregate principal amount of 3.15% Senior Notes due 2030, (iii) $300 million aggregate principal amount of 2.75% Senior Notes due 2032, (iv) $400 million aggregate principal amount of 5.625% Senior Notes due 2033, and (v) $230 million aggregate principal amount of 2.875% Exchangeable Senior Notes due 2031 (collectively, the “Senior Notes”). The Senior Notes are fully and unconditionally guaranteed by the registrant, who consolidates Piedmont OP and all other subsidiaries.</w:t>
      </w:r>
    </w:p>
    <w:p>
      <w:pPr>
        <w:sectPr>
          <w:pgSz w:w="11900" w:h="16838" w:orient="portrait"/>
          <w:cols w:equalWidth="0" w:num="1">
            <w:col w:w="11240"/>
          </w:cols>
          <w:pgMar w:left="320" w:top="141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Brent Smith, certify that:</w:t>
      </w:r>
    </w:p>
    <w:p>
      <w:pPr>
        <w:spacing w:after="0" w:line="17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for the quarter ended September 30, 2026 of Piedmont Realty Trust, Inc.;</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2026</w:t>
      </w:r>
    </w:p>
    <w:p>
      <w:pPr>
        <w:spacing w:after="0" w:line="63"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C. Brent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 Brent Smith</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 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Sherry L. Rexroad, certify that:</w:t>
      </w:r>
    </w:p>
    <w:p>
      <w:pPr>
        <w:spacing w:after="0" w:line="171"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for the quarter ended September 30, 2026 of Piedmont Realty Trust, Inc.;</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26, 2026</w:t>
      </w:r>
    </w:p>
    <w:p>
      <w:pPr>
        <w:spacing w:after="0" w:line="63" w:lineRule="exact"/>
        <w:rPr>
          <w:sz w:val="20"/>
          <w:szCs w:val="20"/>
          <w:color w:val="auto"/>
        </w:rPr>
      </w:pPr>
    </w:p>
    <w:p>
      <w:pPr>
        <w:ind w:left="5260"/>
        <w:spacing w:after="0"/>
        <w:tabs>
          <w:tab w:leader="none" w:pos="5700" w:val="left"/>
        </w:tabs>
        <w:rPr>
          <w:sz w:val="20"/>
          <w:szCs w:val="20"/>
          <w:color w:val="auto"/>
        </w:rPr>
      </w:pPr>
      <w:r>
        <w:rPr>
          <w:rFonts w:ascii="Times New Roman" w:cs="Times New Roman" w:eastAsia="Times New Roman" w:hAnsi="Times New Roman"/>
          <w:sz w:val="18"/>
          <w:szCs w:val="18"/>
          <w:color w:val="auto"/>
        </w:rPr>
        <w:t>By:</w:t>
        <w:tab/>
        <w:t>/s/ Sherry L. Rexroad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514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Sherry L. Rexroad</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Report of Piedmont Realty Trust, Inc. (the “Registrant”) on Form 10-Q for the quarter ended September 30, 2026, as filed with the Securities and Exchange Commission (the “Report”), the undersigned, C. Brent Smith, Chief Executive Officer of the Registrant, hereby certifies, pursuant to 18 U.S.C. §1350, as adopted pursuant to §906 of the Sarbanes-Oxley Act of 2002, that, to the best of my knowledge and belief:</w:t>
      </w:r>
    </w:p>
    <w:p>
      <w:pPr>
        <w:spacing w:after="0" w:line="12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tab/>
        <w:t>/s/ C. Brent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33858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 Brent Smith</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October 26, 2026</w:t>
      </w:r>
    </w:p>
    <w:p>
      <w:pPr>
        <w:sectPr>
          <w:pgSz w:w="11900" w:h="16838" w:orient="portrait"/>
          <w:cols w:equalWidth="0" w:num="1">
            <w:col w:w="11240"/>
          </w:cols>
          <w:pgMar w:left="320" w:top="887"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Report of Piedmont Realty Trust, Inc. (the “Registrant”) on Form 10-Q for the quarter ended September 30, 2026, as filed with the Securities and Exchange Commission (the “Report”), the undersigned, Sherry L. Rexroad, Chief Financial Officer of the Registrant, hereby certifies, pursuant to 18 U.S.C. §1350, as adopted pursuant to §906 of the Sarbanes-Oxley Act of 2002, that, to the best of my knowledge and belief:</w:t>
      </w:r>
    </w:p>
    <w:p>
      <w:pPr>
        <w:spacing w:after="0" w:line="12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tab/>
        <w:t>/s/ Sherry L. Rexroad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3385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Sherry L. Rexroad</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October 26,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56" Type="http://schemas.openxmlformats.org/officeDocument/2006/relationships/hyperlink" Target="https://www.sec.gov/Archives/edgar/data/1042776/000119312510058371/dex31.htm" TargetMode="External"/><Relationship Id="rId57" Type="http://schemas.openxmlformats.org/officeDocument/2006/relationships/hyperlink" Target="https://www.sec.gov/Archives/edgar/data/1042776/000104277611000057/ex32articlesofamendmentofp.htm" TargetMode="External"/><Relationship Id="rId58" Type="http://schemas.openxmlformats.org/officeDocument/2006/relationships/hyperlink" Target="https://www.sec.gov/Archives/edgar/data/1042776/000104277611000057/ex31articlessupplementaryo.htm" TargetMode="External"/><Relationship Id="rId59" Type="http://schemas.openxmlformats.org/officeDocument/2006/relationships/hyperlink" Target="https://www.sec.gov/Archives/edgar/data/1042776/000104277616000359/ex31articlessupplementaryt.htm" TargetMode="External"/><Relationship Id="rId60" Type="http://schemas.openxmlformats.org/officeDocument/2006/relationships/hyperlink" Target="https://www.sec.gov/Archives/edgar/data/1042776/000119312518171309/d759625dex31.htm" TargetMode="External"/><Relationship Id="rId61" Type="http://schemas.openxmlformats.org/officeDocument/2006/relationships/hyperlink" Target="https://www.sec.gov/Archives/edgar/data/1042776/000119312525137827/d93588dex31.htm" TargetMode="External"/><Relationship Id="rId62" Type="http://schemas.openxmlformats.org/officeDocument/2006/relationships/hyperlink" Target="https://www.sec.gov/Archives/edgar/data/1042776/000119312525137827/d93588dex32.htm" TargetMode="External"/><Relationship Id="rId63" Type="http://schemas.openxmlformats.org/officeDocument/2006/relationships/hyperlink" Target="https://www.sec.gov/Archives/edgar/data/1042776/000119312526394364/d153824dex41.htm" TargetMode="External"/><Relationship Id="rId64" Type="http://schemas.openxmlformats.org/officeDocument/2006/relationships/hyperlink" Target="https://www.sec.gov/Archives/edgar/data/1042776/000119312526394364/d153824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2026-10-26T15:24:48Z</dcterms:created>
  <dcterms:modified xsi:type="dcterms:W3CDTF">2026-10-26T15:24:48Z</dcterms:modified>
</cp:coreProperties>
</file>