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149860</wp:posOffset>
            </wp:positionH>
            <wp:positionV relativeFrom="page">
              <wp:posOffset>556260</wp:posOffset>
            </wp:positionV>
            <wp:extent cx="726122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15240"/>
                    </a:xfrm>
                    <a:prstGeom prst="rect">
                      <a:avLst/>
                    </a:prstGeom>
                    <a:noFill/>
                  </pic:spPr>
                </pic:pic>
              </a:graphicData>
            </a:graphic>
          </wp:anchor>
        </w:drawing>
        <w:t>UNITED STATES</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Date of Report (Date of earliest event reported): November 10, 2017</w:t>
      </w: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Piedmont Office Realty Trust, Inc.</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24"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Commission File Number: 001-34626</w:t>
      </w:r>
    </w:p>
    <w:p>
      <w:pPr>
        <w:spacing w:after="0" w:line="381" w:lineRule="exact"/>
        <w:rPr>
          <w:sz w:val="24"/>
          <w:szCs w:val="24"/>
          <w:color w:val="auto"/>
        </w:rPr>
      </w:pPr>
    </w:p>
    <w:tbl>
      <w:tblPr>
        <w:tblLayout w:type="fixed"/>
        <w:tblInd w:w="1800" w:type="dxa"/>
        <w:tblCellMar>
          <w:top w:w="0" w:type="dxa"/>
          <w:left w:w="0" w:type="dxa"/>
          <w:bottom w:w="0" w:type="dxa"/>
          <w:right w:w="0" w:type="dxa"/>
        </w:tblCellMar>
      </w:tblPr>
      <w:tr>
        <w:trPr>
          <w:trHeight w:val="209"/>
        </w:trPr>
        <w:tc>
          <w:tcPr>
            <w:tcW w:w="4080" w:type="dxa"/>
            <w:vAlign w:val="bottom"/>
          </w:tcPr>
          <w:p>
            <w:pPr>
              <w:jc w:val="center"/>
              <w:ind w:right="2000"/>
              <w:spacing w:after="0"/>
              <w:rPr>
                <w:sz w:val="20"/>
                <w:szCs w:val="20"/>
                <w:color w:val="auto"/>
              </w:rPr>
            </w:pPr>
            <w:r>
              <w:rPr>
                <w:rFonts w:ascii="Arial" w:cs="Arial" w:eastAsia="Arial" w:hAnsi="Arial"/>
                <w:sz w:val="16"/>
                <w:szCs w:val="16"/>
                <w:b w:val="1"/>
                <w:bCs w:val="1"/>
                <w:color w:val="auto"/>
                <w:w w:val="96"/>
              </w:rPr>
              <w:t>Maryland</w:t>
            </w:r>
          </w:p>
        </w:tc>
        <w:tc>
          <w:tcPr>
            <w:tcW w:w="3320" w:type="dxa"/>
            <w:vAlign w:val="bottom"/>
          </w:tcPr>
          <w:p>
            <w:pPr>
              <w:jc w:val="center"/>
              <w:ind w:left="1980"/>
              <w:spacing w:after="0"/>
              <w:rPr>
                <w:sz w:val="20"/>
                <w:szCs w:val="20"/>
                <w:color w:val="auto"/>
              </w:rPr>
            </w:pPr>
            <w:r>
              <w:rPr>
                <w:rFonts w:ascii="Arial" w:cs="Arial" w:eastAsia="Arial" w:hAnsi="Arial"/>
                <w:sz w:val="16"/>
                <w:szCs w:val="16"/>
                <w:b w:val="1"/>
                <w:bCs w:val="1"/>
                <w:color w:val="auto"/>
                <w:w w:val="91"/>
              </w:rPr>
              <w:t>58-2328421</w:t>
            </w:r>
          </w:p>
        </w:tc>
      </w:tr>
      <w:tr>
        <w:trPr>
          <w:trHeight w:val="241"/>
        </w:trPr>
        <w:tc>
          <w:tcPr>
            <w:tcW w:w="4080" w:type="dxa"/>
            <w:vAlign w:val="bottom"/>
          </w:tcPr>
          <w:p>
            <w:pPr>
              <w:jc w:val="center"/>
              <w:ind w:right="2000"/>
              <w:spacing w:after="0"/>
              <w:rPr>
                <w:sz w:val="20"/>
                <w:szCs w:val="20"/>
                <w:color w:val="auto"/>
              </w:rPr>
            </w:pPr>
            <w:r>
              <w:rPr>
                <w:rFonts w:ascii="Arial" w:cs="Arial" w:eastAsia="Arial" w:hAnsi="Arial"/>
                <w:sz w:val="16"/>
                <w:szCs w:val="16"/>
                <w:b w:val="1"/>
                <w:bCs w:val="1"/>
                <w:color w:val="auto"/>
                <w:w w:val="91"/>
              </w:rPr>
              <w:t>(State or other jurisdiction of</w:t>
            </w:r>
          </w:p>
        </w:tc>
        <w:tc>
          <w:tcPr>
            <w:tcW w:w="3320" w:type="dxa"/>
            <w:vAlign w:val="bottom"/>
          </w:tcPr>
          <w:p>
            <w:pPr>
              <w:jc w:val="center"/>
              <w:ind w:left="2000"/>
              <w:spacing w:after="0"/>
              <w:rPr>
                <w:sz w:val="20"/>
                <w:szCs w:val="20"/>
                <w:color w:val="auto"/>
              </w:rPr>
            </w:pPr>
            <w:r>
              <w:rPr>
                <w:rFonts w:ascii="Arial" w:cs="Arial" w:eastAsia="Arial" w:hAnsi="Arial"/>
                <w:sz w:val="16"/>
                <w:szCs w:val="16"/>
                <w:b w:val="1"/>
                <w:bCs w:val="1"/>
                <w:color w:val="auto"/>
                <w:w w:val="95"/>
              </w:rPr>
              <w:t>(IRS Employer</w:t>
            </w:r>
          </w:p>
        </w:tc>
      </w:tr>
      <w:tr>
        <w:trPr>
          <w:trHeight w:val="241"/>
        </w:trPr>
        <w:tc>
          <w:tcPr>
            <w:tcW w:w="4080" w:type="dxa"/>
            <w:vAlign w:val="bottom"/>
          </w:tcPr>
          <w:p>
            <w:pPr>
              <w:jc w:val="center"/>
              <w:ind w:right="2000"/>
              <w:spacing w:after="0"/>
              <w:rPr>
                <w:sz w:val="20"/>
                <w:szCs w:val="20"/>
                <w:color w:val="auto"/>
              </w:rPr>
            </w:pPr>
            <w:r>
              <w:rPr>
                <w:rFonts w:ascii="Arial" w:cs="Arial" w:eastAsia="Arial" w:hAnsi="Arial"/>
                <w:sz w:val="16"/>
                <w:szCs w:val="16"/>
                <w:b w:val="1"/>
                <w:bCs w:val="1"/>
                <w:color w:val="auto"/>
                <w:w w:val="92"/>
              </w:rPr>
              <w:t>incorporation)</w:t>
            </w:r>
          </w:p>
        </w:tc>
        <w:tc>
          <w:tcPr>
            <w:tcW w:w="3320" w:type="dxa"/>
            <w:vAlign w:val="bottom"/>
          </w:tcPr>
          <w:p>
            <w:pPr>
              <w:jc w:val="center"/>
              <w:ind w:left="1980"/>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11695 Johns Creek Parkway</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Suite 350</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Johns Creek, GA 30097-1523</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24"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770-418-8800</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80" w:type="dxa"/>
            <w:vAlign w:val="bottom"/>
          </w:tcPr>
          <w:p>
            <w:pPr>
              <w:ind w:left="60"/>
              <w:spacing w:after="0"/>
              <w:rPr>
                <w:sz w:val="20"/>
                <w:szCs w:val="20"/>
                <w:color w:val="auto"/>
              </w:rPr>
            </w:pPr>
            <w:r>
              <w:rPr>
                <w:rFonts w:ascii="Arial" w:cs="Arial" w:eastAsia="Arial" w:hAnsi="Arial"/>
                <w:sz w:val="16"/>
                <w:szCs w:val="16"/>
                <w:color w:val="auto"/>
              </w:rPr>
              <w:t>Written communications pursuant to Rule 425 under the Securities Act (17 CFR 230.425)</w:t>
            </w:r>
          </w:p>
        </w:tc>
      </w:tr>
      <w:tr>
        <w:trPr>
          <w:trHeight w:val="386"/>
        </w:trPr>
        <w:tc>
          <w:tcPr>
            <w:tcW w:w="10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80" w:type="dxa"/>
            <w:vAlign w:val="bottom"/>
          </w:tcPr>
          <w:p>
            <w:pPr>
              <w:ind w:left="60"/>
              <w:spacing w:after="0"/>
              <w:rPr>
                <w:sz w:val="20"/>
                <w:szCs w:val="20"/>
                <w:color w:val="auto"/>
              </w:rPr>
            </w:pPr>
            <w:r>
              <w:rPr>
                <w:rFonts w:ascii="Arial" w:cs="Arial" w:eastAsia="Arial" w:hAnsi="Arial"/>
                <w:sz w:val="16"/>
                <w:szCs w:val="16"/>
                <w:color w:val="auto"/>
              </w:rPr>
              <w:t>Soliciting material pursuant to Rule 14a-12 under the Exchange Act (17 CFR 240.14a-12)</w:t>
            </w:r>
          </w:p>
        </w:tc>
      </w:tr>
      <w:tr>
        <w:trPr>
          <w:trHeight w:val="386"/>
        </w:trPr>
        <w:tc>
          <w:tcPr>
            <w:tcW w:w="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280" w:type="dxa"/>
            <w:vAlign w:val="bottom"/>
          </w:tcPr>
          <w:p>
            <w:pPr>
              <w:ind w:left="60"/>
              <w:spacing w:after="0"/>
              <w:rPr>
                <w:sz w:val="20"/>
                <w:szCs w:val="20"/>
                <w:color w:val="auto"/>
              </w:rPr>
            </w:pPr>
            <w:r>
              <w:rPr>
                <w:rFonts w:ascii="Arial" w:cs="Arial" w:eastAsia="Arial" w:hAnsi="Arial"/>
                <w:sz w:val="16"/>
                <w:szCs w:val="16"/>
                <w:color w:val="auto"/>
                <w:w w:val="90"/>
              </w:rPr>
              <w:t>Pre-commencement communications pursuant to Rule 14d-2(b) under the Exchange Act (17 CFR 240.14d-2(b))</w:t>
            </w:r>
          </w:p>
        </w:tc>
      </w:tr>
      <w:tr>
        <w:trPr>
          <w:trHeight w:val="386"/>
        </w:trPr>
        <w:tc>
          <w:tcPr>
            <w:tcW w:w="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280" w:type="dxa"/>
            <w:vAlign w:val="bottom"/>
          </w:tcPr>
          <w:p>
            <w:pPr>
              <w:ind w:left="60"/>
              <w:spacing w:after="0"/>
              <w:rPr>
                <w:sz w:val="20"/>
                <w:szCs w:val="20"/>
                <w:color w:val="auto"/>
              </w:rPr>
            </w:pPr>
            <w:r>
              <w:rPr>
                <w:rFonts w:ascii="Arial" w:cs="Arial" w:eastAsia="Arial" w:hAnsi="Arial"/>
                <w:sz w:val="16"/>
                <w:szCs w:val="16"/>
                <w:color w:val="auto"/>
                <w:w w:val="91"/>
              </w:rPr>
              <w:t>Pre-commencement communications pursuant to Rule 13e-4(c) under the Exchange Act (17 CFR 240.13e-4(c))</w:t>
            </w:r>
          </w:p>
        </w:tc>
      </w:tr>
    </w:tbl>
    <w:p>
      <w:pPr>
        <w:spacing w:after="0" w:line="181"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26" w:lineRule="exact"/>
        <w:rPr>
          <w:sz w:val="24"/>
          <w:szCs w:val="24"/>
          <w:color w:val="auto"/>
        </w:rPr>
      </w:pPr>
    </w:p>
    <w:p>
      <w:pPr>
        <w:ind w:right="80"/>
        <w:spacing w:after="0" w:line="32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122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15240"/>
                    </a:xfrm>
                    <a:prstGeom prst="rect">
                      <a:avLst/>
                    </a:prstGeom>
                    <a:noFill/>
                  </pic:spPr>
                </pic:pic>
              </a:graphicData>
            </a:graphic>
          </wp:anchor>
        </w:drawing>
      </w:r>
    </w:p>
    <w:p>
      <w:pPr>
        <w:sectPr>
          <w:pgSz w:w="11900" w:h="16838" w:orient="portrait"/>
          <w:cols w:equalWidth="0" w:num="1">
            <w:col w:w="11240"/>
          </w:cols>
          <w:pgMar w:left="240" w:top="1063" w:right="4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On November 14, 2017, Piedmont Office Realty Trust, Inc. (the “Registrant”) will present the information attached as Exhibit 99.1 to this current report on Form 8-K to various parties in conjunction with the National Association of Real Estate Investment Trust (NAREIT)’s REITworld Conference occurring November 14 - 16, 2017 in Dallas, Texas. The presentation will include updates on certain leasing and transactional activity of the Registrant’s as follows:</w:t>
      </w:r>
    </w:p>
    <w:p>
      <w:pPr>
        <w:spacing w:after="0" w:line="90" w:lineRule="exact"/>
        <w:rPr>
          <w:sz w:val="20"/>
          <w:szCs w:val="20"/>
          <w:color w:val="auto"/>
        </w:rPr>
      </w:pPr>
    </w:p>
    <w:p>
      <w:pPr>
        <w:jc w:val="both"/>
        <w:ind w:left="580" w:right="20" w:hanging="294"/>
        <w:spacing w:after="0" w:line="265"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further described in the press release attached hereto as Exhibit 99.2, the Registrant has completed a new, full building (approximately 152,000 square foot) lease at 6011 Connection Drive in Irving, Texas with Gartner, Inc., the world's leading research and advisory company. The 15+ year lease will commence in the fall of 2018; and,</w:t>
      </w:r>
    </w:p>
    <w:p>
      <w:pPr>
        <w:spacing w:after="0" w:line="163" w:lineRule="exact"/>
        <w:rPr>
          <w:sz w:val="20"/>
          <w:szCs w:val="20"/>
          <w:color w:val="auto"/>
        </w:rPr>
      </w:pPr>
    </w:p>
    <w:p>
      <w:pPr>
        <w:jc w:val="both"/>
        <w:ind w:left="580" w:right="20" w:hanging="294"/>
        <w:spacing w:after="0" w:line="25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November 10, 2017, the Registrant entered into two binding contracts with two different buyers to sell 14 assets for a total minimum gross sales price of approximately $425.9 million. An additional $5 million to $10 million of gross sales price is contingent upon certain leasing activity occurring within six months after the closing date of the transactions which is currently anticipated to be in January of 2018. The Registrant anticipates recording a gain on sale of approximately $40 million in conjunction with the closing of one of the transactions and a non-cash impairment loss of approximately $48 million (prior to consideration of any contingent sales proceeds earned on future uncertain leasing activity mentioned above) during the fourth quarter of 2017 for the other transaction. Both contracts are subject to customary closing conditions. The buyers’ contractual due diligence periods have ended and both buyers have posted earnest money deposits that are nonrefundable except in limited circumstances. The 14 assets include:</w:t>
      </w:r>
    </w:p>
    <w:p>
      <w:pPr>
        <w:spacing w:after="0" w:line="290"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300 Desert Canyon, Phoenix, Arizona</w:t>
      </w:r>
    </w:p>
    <w:p>
      <w:pPr>
        <w:spacing w:after="0" w:line="21"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Windy Point I and II, Schaumburg, Illinois</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2300 Cabot Drive, Lisle, Illinois</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1075 West Entrance Drive, Auburn Hills, Michigan</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Auburn Hills Corporate Center, Auburn Hills, Michigan</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5301 Maryland Way, Brentwood, Tennessee</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Suwanee Gateway One, Suwanee, Georgia</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5601 Hiatus Road, Tamarac, Florida</w:t>
      </w:r>
    </w:p>
    <w:p>
      <w:pPr>
        <w:spacing w:after="0" w:line="9" w:lineRule="exact"/>
        <w:rPr>
          <w:rFonts w:ascii="Arial" w:cs="Arial" w:eastAsia="Arial" w:hAnsi="Arial"/>
          <w:sz w:val="16"/>
          <w:szCs w:val="16"/>
          <w:color w:val="auto"/>
        </w:rPr>
      </w:pPr>
    </w:p>
    <w:p>
      <w:pPr>
        <w:ind w:left="1160" w:hanging="295"/>
        <w:spacing w:after="0" w:line="184" w:lineRule="auto"/>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2001 NW 64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Fort Lauderdale, Florida</w:t>
      </w: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Piedmont Pointe I &amp; II, Bethesda, Maryland</w:t>
      </w:r>
    </w:p>
    <w:p>
      <w:pPr>
        <w:spacing w:after="0" w:line="7"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1200 Crown Colony Drive, Quincy, Massachusetts</w:t>
      </w:r>
    </w:p>
    <w:p>
      <w:pPr>
        <w:spacing w:after="0" w:line="9" w:lineRule="exact"/>
        <w:rPr>
          <w:rFonts w:ascii="Arial" w:cs="Arial" w:eastAsia="Arial" w:hAnsi="Arial"/>
          <w:sz w:val="16"/>
          <w:szCs w:val="16"/>
          <w:color w:val="auto"/>
        </w:rPr>
      </w:pPr>
    </w:p>
    <w:p>
      <w:pPr>
        <w:ind w:left="1160" w:hanging="295"/>
        <w:spacing w:after="0"/>
        <w:tabs>
          <w:tab w:leader="none" w:pos="1160" w:val="left"/>
        </w:tabs>
        <w:numPr>
          <w:ilvl w:val="1"/>
          <w:numId w:val="2"/>
        </w:numPr>
        <w:rPr>
          <w:rFonts w:ascii="Arial" w:cs="Arial" w:eastAsia="Arial" w:hAnsi="Arial"/>
          <w:sz w:val="16"/>
          <w:szCs w:val="16"/>
          <w:color w:val="auto"/>
        </w:rPr>
      </w:pPr>
      <w:r>
        <w:rPr>
          <w:rFonts w:ascii="Arial" w:cs="Arial" w:eastAsia="Arial" w:hAnsi="Arial"/>
          <w:sz w:val="16"/>
          <w:szCs w:val="16"/>
          <w:color w:val="auto"/>
        </w:rPr>
        <w:t>2120 West End Avenue, Nashville, Tennessee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please refer to page 14 of the attached Exhibit 99.1.</w:t>
      </w:r>
    </w:p>
    <w:p>
      <w:pPr>
        <w:spacing w:after="0" w:line="130"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Pursuant to the rules and regulations of the Securities and Exchange Commission, such exhibit and the information set forth therein are deemed to have been furnished and shall not be deemed to be “filed” under the Securities Exchange Act of 1934.</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Additionally, the exhibit to this Form 8-K may contain certain statements which constitute forward-looking statements within the meaning of Section 27A of the Securities Act of 1933, as amended, and Section 21E of the Securities Exchange Act of 1934, as amended. Such information is subject to certain risks and uncertainties, as well as known and unknown risks, which could cause actual results to differ materially from those projected or anticipated. Therefore, such statements are not intended to be a guarantee of our performance in future periods. Such forward-looking statements can generally be identified by our use of forward-looking terminology such as “may,” “will,” “expect,” “intend,” “anticipate,” “believe,” “continue” or similar words or phrases that are predictions of future events or trends and which do not relate solely to historical matters. Examples of such statements in this release include whether either of the two sale transactions described above will close in January of 2018 and the amount of gain on sale and impairment loss that will be recorded in conjunction with each transaction. A number of important factors could cause actual results or outcomes to differ materially from those contemplated by the forward-looking statements, including events that could give rise to a termination of the binding contracts for the two sale transactions described above and the other risks and uncertainties discussed under Item 1A of Piedmont's Amended Annual Report on Form 10-K/A for the year ended December 31, 2016. Readers are cautioned not to place undue reliance on these forward-looking statements, which speak only as of the date of this Current Report on Form 8-K. The Company cannot guarantee the accuracy of any such forward-looking statements contained in this press release, and the Company does not intend to publicly update or revise any forward-looking statements, whether as a result of new information, future events, or otherwise.</w:t>
      </w:r>
    </w:p>
    <w:p>
      <w:pPr>
        <w:sectPr>
          <w:pgSz w:w="11900" w:h="16838" w:orient="portrait"/>
          <w:cols w:equalWidth="0" w:num="1">
            <w:col w:w="11440"/>
          </w:cols>
          <w:pgMar w:left="240" w:top="726" w:right="2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30"/>
        </w:trPr>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173"/>
        </w:trPr>
        <w:tc>
          <w:tcPr>
            <w:tcW w:w="1720" w:type="dxa"/>
            <w:vAlign w:val="bottom"/>
          </w:tcPr>
          <w:p>
            <w:pPr>
              <w:ind w:left="20"/>
              <w:spacing w:after="0" w:line="173" w:lineRule="exact"/>
              <w:rPr>
                <w:sz w:val="20"/>
                <w:szCs w:val="20"/>
                <w:color w:val="auto"/>
              </w:rPr>
            </w:pPr>
            <w:r>
              <w:rPr>
                <w:rFonts w:ascii="Arial" w:cs="Arial" w:eastAsia="Arial" w:hAnsi="Arial"/>
                <w:sz w:val="16"/>
                <w:szCs w:val="16"/>
                <w:color w:val="auto"/>
              </w:rPr>
              <w:t>99.1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bottom w:val="single" w:sz="8" w:color="0000FF"/>
            </w:tcBorders>
            <w:gridSpan w:val="2"/>
          </w:tcPr>
          <w:p>
            <w:pPr>
              <w:spacing w:after="0" w:line="173" w:lineRule="exact"/>
              <w:rPr>
                <w:rFonts w:ascii="Arial" w:cs="Arial" w:eastAsia="Arial" w:hAnsi="Arial"/>
                <w:sz w:val="16"/>
                <w:szCs w:val="16"/>
                <w:color w:val="0000FF"/>
                <w:w w:val="93"/>
              </w:rPr>
            </w:pPr>
            <w:hyperlink w:anchor="page5">
              <w:r>
                <w:rPr>
                  <w:rFonts w:ascii="Arial" w:cs="Arial" w:eastAsia="Arial" w:hAnsi="Arial"/>
                  <w:sz w:val="16"/>
                  <w:szCs w:val="16"/>
                  <w:color w:val="0000FF"/>
                  <w:w w:val="93"/>
                </w:rPr>
                <w:t>Piedmont’s presentation in conjunction with the NAREIT REITworld Conference.</w:t>
              </w:r>
            </w:hyperlink>
          </w:p>
        </w:tc>
        <w:tc>
          <w:tcPr>
            <w:tcW w:w="4060" w:type="dxa"/>
            <w:vAlign w:val="bottom"/>
          </w:tcPr>
          <w:p>
            <w:pPr>
              <w:spacing w:after="0"/>
              <w:rPr>
                <w:sz w:val="15"/>
                <w:szCs w:val="15"/>
                <w:color w:val="auto"/>
              </w:rPr>
            </w:pPr>
          </w:p>
        </w:tc>
      </w:tr>
      <w:tr>
        <w:trPr>
          <w:trHeight w:val="221"/>
        </w:trPr>
        <w:tc>
          <w:tcPr>
            <w:tcW w:w="1720" w:type="dxa"/>
            <w:vAlign w:val="bottom"/>
          </w:tcPr>
          <w:p>
            <w:pPr>
              <w:ind w:left="20"/>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tcBorders>
              <w:bottom w:val="single" w:sz="8" w:color="0000FF"/>
            </w:tcBorders>
          </w:tcPr>
          <w:p>
            <w:pPr>
              <w:spacing w:after="0"/>
              <w:rPr>
                <w:rFonts w:ascii="Arial" w:cs="Arial" w:eastAsia="Arial" w:hAnsi="Arial"/>
                <w:sz w:val="16"/>
                <w:szCs w:val="16"/>
                <w:color w:val="0000FF"/>
                <w:w w:val="87"/>
              </w:rPr>
            </w:pPr>
            <w:hyperlink w:anchor="page23">
              <w:r>
                <w:rPr>
                  <w:rFonts w:ascii="Arial" w:cs="Arial" w:eastAsia="Arial" w:hAnsi="Arial"/>
                  <w:sz w:val="16"/>
                  <w:szCs w:val="16"/>
                  <w:color w:val="0000FF"/>
                  <w:w w:val="87"/>
                </w:rPr>
                <w:t>Press release dated November 13, 2017.</w:t>
              </w:r>
            </w:hyperlink>
          </w:p>
        </w:tc>
        <w:tc>
          <w:tcPr>
            <w:tcW w:w="6780" w:type="dxa"/>
            <w:vAlign w:val="bottom"/>
            <w:gridSpan w:val="2"/>
          </w:tcPr>
          <w:p>
            <w:pPr>
              <w:spacing w:after="0"/>
              <w:rPr>
                <w:sz w:val="19"/>
                <w:szCs w:val="19"/>
                <w:color w:val="auto"/>
              </w:rPr>
            </w:pPr>
          </w:p>
        </w:tc>
      </w:tr>
    </w:tbl>
    <w:p>
      <w:pPr>
        <w:sectPr>
          <w:pgSz w:w="11900" w:h="16838" w:orient="portrait"/>
          <w:cols w:equalWidth="0" w:num="1">
            <w:col w:w="11440"/>
          </w:cols>
          <w:pgMar w:left="240" w:top="87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42" w:lineRule="exact"/>
        <w:rPr>
          <w:sz w:val="20"/>
          <w:szCs w:val="20"/>
          <w:color w:val="auto"/>
        </w:rPr>
      </w:pPr>
    </w:p>
    <w:p>
      <w:pPr>
        <w:ind w:right="120" w:firstLine="386"/>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Piedmont Office Realty Trust, Inc.</w:t>
            </w:r>
          </w:p>
        </w:tc>
      </w:tr>
      <w:tr>
        <w:trPr>
          <w:trHeight w:val="511"/>
        </w:trPr>
        <w:tc>
          <w:tcPr>
            <w:tcW w:w="3640" w:type="dxa"/>
            <w:vAlign w:val="bottom"/>
          </w:tcPr>
          <w:p>
            <w:pPr>
              <w:spacing w:after="0"/>
              <w:rPr>
                <w:sz w:val="20"/>
                <w:szCs w:val="20"/>
                <w:color w:val="auto"/>
              </w:rPr>
            </w:pPr>
            <w:r>
              <w:rPr>
                <w:rFonts w:ascii="Arial" w:cs="Arial" w:eastAsia="Arial" w:hAnsi="Arial"/>
                <w:sz w:val="16"/>
                <w:szCs w:val="16"/>
                <w:color w:val="auto"/>
              </w:rPr>
              <w:t>Date: November 13, 2017</w:t>
            </w:r>
          </w:p>
        </w:tc>
        <w:tc>
          <w:tcPr>
            <w:tcW w:w="7780" w:type="dxa"/>
            <w:vAlign w:val="bottom"/>
            <w:gridSpan w:val="2"/>
          </w:tcPr>
          <w:p>
            <w:pPr>
              <w:ind w:left="1960"/>
              <w:spacing w:after="0"/>
              <w:rPr>
                <w:sz w:val="20"/>
                <w:szCs w:val="20"/>
                <w:color w:val="auto"/>
              </w:rPr>
            </w:pPr>
            <w:r>
              <w:rPr>
                <w:rFonts w:ascii="Arial" w:cs="Arial" w:eastAsia="Arial" w:hAnsi="Arial"/>
                <w:sz w:val="16"/>
                <w:szCs w:val="16"/>
                <w:color w:val="auto"/>
              </w:rPr>
              <w:t>By:   /s/  Laura P. Moon</w:t>
            </w:r>
          </w:p>
        </w:tc>
      </w:tr>
      <w:tr>
        <w:trPr>
          <w:trHeight w:val="217"/>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Laura P. Moon</w:t>
            </w:r>
          </w:p>
        </w:tc>
      </w:tr>
      <w:tr>
        <w:trPr>
          <w:trHeight w:val="241"/>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Chief Accounting Officer and Senior Vice President</w:t>
            </w:r>
          </w:p>
        </w:tc>
      </w:tr>
    </w:tbl>
    <w:p>
      <w:pPr>
        <w:sectPr>
          <w:pgSz w:w="11900" w:h="16838" w:orient="portrait"/>
          <w:cols w:equalWidth="0" w:num="1">
            <w:col w:w="11440"/>
          </w:cols>
          <w:pgMar w:left="240" w:top="726" w:right="2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5861685</wp:posOffset>
            </wp:positionV>
            <wp:extent cx="719709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63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63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Exhibit 99.2</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45"/>
          <w:szCs w:val="45"/>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761490" cy="949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1490" cy="94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Piedmont Office Realty Trust Signs Long-Term Full Building 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with Gartner, Inc. in Dallas Market</w:t>
      </w:r>
    </w:p>
    <w:p>
      <w:pPr>
        <w:spacing w:after="0" w:line="200" w:lineRule="exact"/>
        <w:rPr>
          <w:sz w:val="20"/>
          <w:szCs w:val="20"/>
          <w:color w:val="auto"/>
        </w:rPr>
      </w:pPr>
    </w:p>
    <w:p>
      <w:pPr>
        <w:spacing w:after="0" w:line="33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ATLANTA and DALLAS - November 13, 2017 </w:t>
      </w:r>
      <w:r>
        <w:rPr>
          <w:rFonts w:ascii="Arial" w:cs="Arial" w:eastAsia="Arial" w:hAnsi="Arial"/>
          <w:sz w:val="19"/>
          <w:szCs w:val="19"/>
          <w:color w:val="auto"/>
        </w:rPr>
        <w:t>- Piedmont Office Realty Trust, Inc. (NYSE:PDM) announced today that the world’s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and advisory company, Gartner, Inc., has completed a 152,086 square foot, 15+ year full building new lease through 2034 at 6011 Connection Drive in Irving, TX - located within the desirable submarket of Las Colinas. The property is one of ten total properties representing approximately 2.1 million square feet of Class-A office space owned by Piedmont in the greater Dallas market.</w:t>
      </w:r>
    </w:p>
    <w:p>
      <w:pPr>
        <w:spacing w:after="0" w:line="82"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The Cushman &amp; Wakefield team of Andy May, Randy Cooper, Matt Heidelbaugh, and Amber Roberts represented the tenant in the transaction. Joel Pustmueller and Sarah Hinkley of Peloton Commercial Real Estate, along with Joe Pangburn and Damian Miller of Piedmont, facilitated negotiations on behalf of the owner.</w:t>
      </w:r>
    </w:p>
    <w:p>
      <w:pPr>
        <w:spacing w:after="0" w:line="147" w:lineRule="exact"/>
        <w:rPr>
          <w:sz w:val="20"/>
          <w:szCs w:val="20"/>
          <w:color w:val="auto"/>
        </w:rPr>
      </w:pPr>
    </w:p>
    <w:p>
      <w:pPr>
        <w:jc w:val="both"/>
        <w:ind w:right="20"/>
        <w:spacing w:after="0" w:line="266" w:lineRule="auto"/>
        <w:rPr>
          <w:sz w:val="20"/>
          <w:szCs w:val="20"/>
          <w:color w:val="auto"/>
        </w:rPr>
      </w:pPr>
      <w:r>
        <w:rPr>
          <w:rFonts w:ascii="Arial" w:cs="Arial" w:eastAsia="Arial" w:hAnsi="Arial"/>
          <w:sz w:val="19"/>
          <w:szCs w:val="19"/>
          <w:color w:val="auto"/>
        </w:rPr>
        <w:t>“We are extremely pleased to welcome an industry-leading company such as Gartner to our portfolio of tenants,” said Joe Pangburn, Executive Vice President for Piedmont. “Completing a new lease of this size speaks to the quality and attributes of our property, as well as the demand for the amenity-rich Las Colinas submarket,” added Pangburn.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Piedmont Office Realty Trust:</w:t>
      </w:r>
    </w:p>
    <w:p>
      <w:pPr>
        <w:spacing w:after="0" w:line="7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Piedmont Office Realty Trust, Inc. (NYSE: PDM) is an owner, manager, developer, and operator of high-quality, Class A office properties in select submarkets located primarily within eight major Eastern U.S. office markets. Its geographically-diversified, over $5 billion portfolio is comprised of approximately 19 million square feet. The Company is a fully-integrated, self-managed real estate investment trust (REIT) with local management offices in each of its major markets and is investment-grade rated by Standard &amp; Poor’s (BBB) and Moody’s (Baa2). For more information, see www.piedmontreit.com.</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Contact:</w:t>
            </w:r>
          </w:p>
        </w:tc>
        <w:tc>
          <w:tcPr>
            <w:tcW w:w="2640" w:type="dxa"/>
            <w:vAlign w:val="bottom"/>
          </w:tcPr>
          <w:p>
            <w:pPr>
              <w:ind w:left="20"/>
              <w:spacing w:after="0"/>
              <w:rPr>
                <w:sz w:val="20"/>
                <w:szCs w:val="20"/>
                <w:color w:val="auto"/>
              </w:rPr>
            </w:pPr>
            <w:r>
              <w:rPr>
                <w:rFonts w:ascii="Arial" w:cs="Arial" w:eastAsia="Arial" w:hAnsi="Arial"/>
                <w:sz w:val="18"/>
                <w:szCs w:val="18"/>
                <w:color w:val="auto"/>
              </w:rPr>
              <w:t>Kerry Hughes</w:t>
            </w:r>
          </w:p>
        </w:tc>
      </w:tr>
      <w:tr>
        <w:trPr>
          <w:trHeight w:val="205"/>
        </w:trPr>
        <w:tc>
          <w:tcPr>
            <w:tcW w:w="3420" w:type="dxa"/>
            <w:vAlign w:val="bottom"/>
            <w:gridSpan w:val="2"/>
          </w:tcPr>
          <w:p>
            <w:pPr>
              <w:spacing w:after="0" w:line="205" w:lineRule="exact"/>
              <w:rPr>
                <w:sz w:val="20"/>
                <w:szCs w:val="20"/>
                <w:color w:val="auto"/>
              </w:rPr>
            </w:pPr>
            <w:r>
              <w:rPr>
                <w:rFonts w:ascii="Arial" w:cs="Arial" w:eastAsia="Arial" w:hAnsi="Arial"/>
                <w:sz w:val="18"/>
                <w:szCs w:val="18"/>
                <w:color w:val="auto"/>
              </w:rPr>
              <w:t>Company:   Piedmont Office Realty Trust</w:t>
            </w:r>
          </w:p>
        </w:tc>
      </w:tr>
      <w:tr>
        <w:trPr>
          <w:trHeight w:val="205"/>
        </w:trPr>
        <w:tc>
          <w:tcPr>
            <w:tcW w:w="780" w:type="dxa"/>
            <w:vAlign w:val="bottom"/>
          </w:tcPr>
          <w:p>
            <w:pPr>
              <w:spacing w:after="0" w:line="205" w:lineRule="exact"/>
              <w:rPr>
                <w:sz w:val="20"/>
                <w:szCs w:val="20"/>
                <w:color w:val="auto"/>
              </w:rPr>
            </w:pPr>
            <w:r>
              <w:rPr>
                <w:rFonts w:ascii="Arial" w:cs="Arial" w:eastAsia="Arial" w:hAnsi="Arial"/>
                <w:sz w:val="18"/>
                <w:szCs w:val="18"/>
                <w:color w:val="auto"/>
              </w:rPr>
              <w:t>Phone:</w:t>
            </w:r>
          </w:p>
        </w:tc>
        <w:tc>
          <w:tcPr>
            <w:tcW w:w="2640" w:type="dxa"/>
            <w:vAlign w:val="bottom"/>
          </w:tcPr>
          <w:p>
            <w:pPr>
              <w:jc w:val="right"/>
              <w:ind w:right="1372"/>
              <w:spacing w:after="0" w:line="205" w:lineRule="exact"/>
              <w:rPr>
                <w:sz w:val="20"/>
                <w:szCs w:val="20"/>
                <w:color w:val="auto"/>
              </w:rPr>
            </w:pPr>
            <w:r>
              <w:rPr>
                <w:rFonts w:ascii="Arial" w:cs="Arial" w:eastAsia="Arial" w:hAnsi="Arial"/>
                <w:sz w:val="18"/>
                <w:szCs w:val="18"/>
                <w:color w:val="auto"/>
                <w:w w:val="92"/>
              </w:rPr>
              <w:t>1 770 418 8800</w:t>
            </w:r>
          </w:p>
        </w:tc>
      </w:tr>
      <w:tr>
        <w:trPr>
          <w:trHeight w:val="184"/>
        </w:trPr>
        <w:tc>
          <w:tcPr>
            <w:tcW w:w="780" w:type="dxa"/>
            <w:vAlign w:val="bottom"/>
          </w:tcPr>
          <w:p>
            <w:pPr>
              <w:spacing w:after="0" w:line="183" w:lineRule="exact"/>
              <w:rPr>
                <w:sz w:val="20"/>
                <w:szCs w:val="20"/>
                <w:color w:val="auto"/>
              </w:rPr>
            </w:pPr>
            <w:r>
              <w:rPr>
                <w:rFonts w:ascii="Arial" w:cs="Arial" w:eastAsia="Arial" w:hAnsi="Arial"/>
                <w:sz w:val="18"/>
                <w:szCs w:val="18"/>
                <w:color w:val="auto"/>
              </w:rPr>
              <w:t>Email:</w:t>
            </w:r>
          </w:p>
        </w:tc>
        <w:tc>
          <w:tcPr>
            <w:tcW w:w="2640" w:type="dxa"/>
            <w:vAlign w:val="bottom"/>
            <w:tcBorders>
              <w:bottom w:val="single" w:sz="8" w:color="0000FF"/>
            </w:tcBorders>
          </w:tcPr>
          <w:p>
            <w:pPr>
              <w:spacing w:after="0" w:line="183" w:lineRule="exact"/>
              <w:rPr>
                <w:sz w:val="20"/>
                <w:szCs w:val="20"/>
                <w:color w:val="auto"/>
              </w:rPr>
            </w:pPr>
            <w:r>
              <w:rPr>
                <w:rFonts w:ascii="Arial" w:cs="Arial" w:eastAsia="Arial" w:hAnsi="Arial"/>
                <w:sz w:val="18"/>
                <w:szCs w:val="18"/>
                <w:color w:val="0000FF"/>
                <w:w w:val="88"/>
              </w:rPr>
              <w:t>investor.relations@Piedmontreit.com</w:t>
            </w:r>
          </w:p>
        </w:tc>
      </w:tr>
    </w:tbl>
    <w:p>
      <w:pPr>
        <w:spacing w:after="0" w:line="1" w:lineRule="exact"/>
        <w:rPr>
          <w:sz w:val="20"/>
          <w:szCs w:val="20"/>
          <w:color w:val="auto"/>
        </w:rPr>
      </w:pPr>
    </w:p>
    <w:sectPr>
      <w:pgSz w:w="11900" w:h="16838" w:orient="portrait"/>
      <w:cols w:equalWidth="0" w:num="1">
        <w:col w:w="11440"/>
      </w:cols>
      <w:pgMar w:left="240" w:top="53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2019-12-29T03:24:54Z</dcterms:created>
  <dcterms:modified xsi:type="dcterms:W3CDTF">2019-12-29T03:24:54Z</dcterms:modified>
</cp:coreProperties>
</file>