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3" w:lineRule="exact"/>
        <w:rPr>
          <w:sz w:val="24"/>
          <w:szCs w:val="24"/>
          <w:color w:val="auto"/>
        </w:rPr>
      </w:pPr>
    </w:p>
    <w:p>
      <w:pPr>
        <w:ind w:left="340" w:right="14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-224790</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2"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3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-608330</wp:posOffset>
            </wp:positionV>
            <wp:extent cx="57150" cy="6216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665"/>
                    </a:xfrm>
                    <a:prstGeom prst="rect">
                      <a:avLst/>
                    </a:prstGeom>
                    <a:noFill/>
                  </pic:spPr>
                </pic:pic>
              </a:graphicData>
            </a:graphic>
          </wp:anchor>
        </w:drawing>
        <w:drawing>
          <wp:anchor simplePos="0" relativeHeight="251657728" behindDoc="1" locked="0" layoutInCell="0" allowOverlap="1">
            <wp:simplePos x="0" y="0"/>
            <wp:positionH relativeFrom="column">
              <wp:posOffset>3926840</wp:posOffset>
            </wp:positionH>
            <wp:positionV relativeFrom="paragraph">
              <wp:posOffset>-608330</wp:posOffset>
            </wp:positionV>
            <wp:extent cx="57150" cy="6216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166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639445</wp:posOffset>
            </wp:positionV>
            <wp:extent cx="6997700" cy="4954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4954270"/>
                    </a:xfrm>
                    <a:prstGeom prst="rect">
                      <a:avLst/>
                    </a:prstGeom>
                    <a:noFill/>
                  </pic:spPr>
                </pic:pic>
              </a:graphicData>
            </a:graphic>
          </wp:anchor>
        </w:drawing>
      </w:r>
    </w:p>
    <w:p>
      <w:pPr>
        <w:spacing w:after="0" w:line="1082" w:lineRule="exact"/>
        <w:rPr>
          <w:sz w:val="24"/>
          <w:szCs w:val="24"/>
          <w:color w:val="auto"/>
        </w:rPr>
      </w:pPr>
    </w:p>
    <w:p>
      <w:pPr>
        <w:sectPr>
          <w:pgSz w:w="11900" w:h="16838" w:orient="portrait"/>
          <w:cols w:equalWidth="0" w:num="2">
            <w:col w:w="2320" w:space="340"/>
            <w:col w:w="8420"/>
          </w:cols>
          <w:pgMar w:left="460" w:top="214"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Smith Christopher Brent</w:t>
        </w:r>
      </w:hyperlink>
    </w:p>
    <w:p>
      <w:pPr>
        <w:spacing w:after="0" w:line="28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right="740"/>
        <w:spacing w:after="0" w:line="334" w:lineRule="auto"/>
        <w:rPr>
          <w:sz w:val="20"/>
          <w:szCs w:val="20"/>
          <w:color w:val="auto"/>
        </w:rPr>
      </w:pPr>
      <w:r>
        <w:rPr>
          <w:rFonts w:ascii="Times New Roman" w:cs="Times New Roman" w:eastAsia="Times New Roman" w:hAnsi="Times New Roman"/>
          <w:sz w:val="16"/>
          <w:szCs w:val="16"/>
          <w:color w:val="0000FF"/>
        </w:rPr>
        <w:t>5565 GLENRIDGE CONNECTOR STE. 450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jc w:val="center"/>
        <w:ind w:right="257"/>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Piedmont Realty Trust,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PDM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02/13/2026</w:t>
      </w:r>
    </w:p>
    <w:p>
      <w:pPr>
        <w:spacing w:after="0" w:line="20" w:lineRule="exact"/>
        <w:rPr>
          <w:sz w:val="24"/>
          <w:szCs w:val="24"/>
          <w:color w:val="auto"/>
        </w:rPr>
      </w:pPr>
      <w:r>
        <w:rPr>
          <w:sz w:val="24"/>
          <w:szCs w:val="24"/>
          <w:color w:val="auto"/>
        </w:rPr>
        <w:br w:type="column"/>
      </w:r>
    </w:p>
    <w:p>
      <w:pPr>
        <w:ind w:left="3" w:right="700" w:hanging="3"/>
        <w:spacing w:after="0" w:line="24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2" w:lineRule="exact"/>
        <w:rPr>
          <w:sz w:val="24"/>
          <w:szCs w:val="24"/>
          <w:color w:val="auto"/>
        </w:rPr>
      </w:pPr>
    </w:p>
    <w:p>
      <w:pPr>
        <w:ind w:left="523"/>
        <w:spacing w:after="0"/>
        <w:tabs>
          <w:tab w:leader="none" w:pos="206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3"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23"/>
        <w:spacing w:after="0"/>
        <w:tabs>
          <w:tab w:leader="none" w:pos="206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6" w:lineRule="exact"/>
        <w:rPr>
          <w:sz w:val="24"/>
          <w:szCs w:val="24"/>
          <w:color w:val="auto"/>
        </w:rPr>
      </w:pPr>
    </w:p>
    <w:p>
      <w:pPr>
        <w:ind w:left="663"/>
        <w:spacing w:after="0"/>
        <w:rPr>
          <w:sz w:val="20"/>
          <w:szCs w:val="20"/>
          <w:color w:val="auto"/>
        </w:rPr>
      </w:pPr>
      <w:r>
        <w:rPr>
          <w:rFonts w:ascii="Times New Roman" w:cs="Times New Roman" w:eastAsia="Times New Roman" w:hAnsi="Times New Roman"/>
          <w:sz w:val="16"/>
          <w:szCs w:val="16"/>
          <w:color w:val="0000FF"/>
        </w:rPr>
        <w:t>President &amp; Chief Exec. Off</w:t>
      </w:r>
    </w:p>
    <w:p>
      <w:pPr>
        <w:spacing w:after="0" w:line="404" w:lineRule="exact"/>
        <w:rPr>
          <w:sz w:val="24"/>
          <w:szCs w:val="24"/>
          <w:color w:val="auto"/>
        </w:rPr>
      </w:pPr>
    </w:p>
    <w:p>
      <w:pPr>
        <w:sectPr>
          <w:pgSz w:w="11900" w:h="16838" w:orient="portrait"/>
          <w:cols w:equalWidth="0" w:num="3">
            <w:col w:w="3180" w:space="720"/>
            <w:col w:w="3117" w:space="720"/>
            <w:col w:w="3343"/>
          </w:cols>
          <w:pgMar w:left="460" w:top="214" w:right="359" w:bottom="1440" w:gutter="0" w:footer="0" w:header="0"/>
          <w:type w:val="continuous"/>
        </w:sectPr>
      </w:pPr>
    </w:p>
    <w:p>
      <w:pPr>
        <w:spacing w:after="0" w:line="201"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1"/>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ATLANTA</w:t>
            </w:r>
          </w:p>
        </w:tc>
        <w:tc>
          <w:tcPr>
            <w:tcW w:w="10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GA</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30342</w:t>
            </w:r>
          </w:p>
        </w:tc>
      </w:tr>
      <w:tr>
        <w:trPr>
          <w:trHeight w:val="145"/>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1"/>
          <w:szCs w:val="11"/>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spacing w:after="0" w:line="39"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One Reporting Person</w:t>
      </w:r>
    </w:p>
    <w:p>
      <w:pPr>
        <w:spacing w:after="0" w:line="6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ind w:left="4380"/>
        <w:spacing w:after="0"/>
        <w:rPr>
          <w:sz w:val="20"/>
          <w:szCs w:val="20"/>
          <w:color w:val="auto"/>
        </w:rPr>
      </w:pPr>
      <w:r>
        <w:rPr>
          <w:rFonts w:ascii="Arial" w:cs="Arial" w:eastAsia="Arial" w:hAnsi="Arial"/>
          <w:sz w:val="13"/>
          <w:szCs w:val="13"/>
          <w:color w:val="auto"/>
        </w:rPr>
        <w:t>Person</w:t>
      </w:r>
    </w:p>
    <w:p>
      <w:pPr>
        <w:spacing w:after="0" w:line="351" w:lineRule="exact"/>
        <w:rPr>
          <w:sz w:val="24"/>
          <w:szCs w:val="24"/>
          <w:color w:val="auto"/>
        </w:rPr>
      </w:pPr>
    </w:p>
    <w:p>
      <w:pPr>
        <w:sectPr>
          <w:pgSz w:w="11900" w:h="16838" w:orient="portrait"/>
          <w:cols w:equalWidth="0" w:num="2">
            <w:col w:w="3760" w:space="140"/>
            <w:col w:w="7180"/>
          </w:cols>
          <w:pgMar w:left="460" w:top="214"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6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gridSpan w:val="2"/>
          </w:tcPr>
          <w:p>
            <w:pPr>
              <w:ind w:left="860"/>
              <w:spacing w:after="0" w:line="125"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10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gridSpan w:val="3"/>
          </w:tcPr>
          <w:p>
            <w:pPr>
              <w:ind w:left="860"/>
              <w:spacing w:after="0" w:line="125" w:lineRule="exact"/>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44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line="125" w:lineRule="exact"/>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Pr>
          <w:p>
            <w:pPr>
              <w:spacing w:after="0"/>
              <w:rPr>
                <w:sz w:val="21"/>
                <w:szCs w:val="21"/>
                <w:color w:val="auto"/>
              </w:rPr>
            </w:pPr>
          </w:p>
        </w:tc>
        <w:tc>
          <w:tcPr>
            <w:tcW w:w="184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0000FF"/>
              </w:rPr>
              <w:t>02/13/2026</w:t>
            </w:r>
          </w:p>
        </w:tc>
        <w:tc>
          <w:tcPr>
            <w:tcW w:w="6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37,677</w:t>
            </w:r>
          </w:p>
        </w:tc>
        <w:tc>
          <w:tcPr>
            <w:tcW w:w="60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Pr>
          <w:p>
            <w:pPr>
              <w:jc w:val="right"/>
              <w:ind w:right="76"/>
              <w:spacing w:after="0"/>
              <w:rPr>
                <w:sz w:val="20"/>
                <w:szCs w:val="20"/>
                <w:color w:val="auto"/>
              </w:rPr>
            </w:pPr>
            <w:r>
              <w:rPr>
                <w:rFonts w:ascii="Times New Roman" w:cs="Times New Roman" w:eastAsia="Times New Roman" w:hAnsi="Times New Roman"/>
                <w:sz w:val="10"/>
                <w:szCs w:val="10"/>
                <w:color w:val="008000"/>
              </w:rPr>
              <w:t>(1)(2)</w:t>
            </w:r>
          </w:p>
        </w:tc>
        <w:tc>
          <w:tcPr>
            <w:tcW w:w="60" w:type="dxa"/>
            <w:vAlign w:val="bottom"/>
          </w:tcPr>
          <w:p>
            <w:pPr>
              <w:spacing w:after="0"/>
              <w:rPr>
                <w:sz w:val="21"/>
                <w:szCs w:val="21"/>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0000FF"/>
              </w:rPr>
              <w:t>664,000</w:t>
            </w:r>
          </w:p>
        </w:tc>
        <w:tc>
          <w:tcPr>
            <w:tcW w:w="300" w:type="dxa"/>
            <w:vAlign w:val="bottom"/>
          </w:tcPr>
          <w:p>
            <w:pPr>
              <w:spacing w:after="0"/>
              <w:rPr>
                <w:sz w:val="21"/>
                <w:szCs w:val="21"/>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6"/>
        </w:trPr>
        <w:tc>
          <w:tcPr>
            <w:tcW w:w="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60"/>
              <w:spacing w:after="0"/>
              <w:rPr>
                <w:sz w:val="20"/>
                <w:szCs w:val="20"/>
                <w:color w:val="auto"/>
              </w:rPr>
            </w:pPr>
            <w:r>
              <w:rPr>
                <w:rFonts w:ascii="Times New Roman" w:cs="Times New Roman" w:eastAsia="Times New Roman" w:hAnsi="Times New Roman"/>
                <w:sz w:val="16"/>
                <w:szCs w:val="16"/>
                <w:color w:val="0000FF"/>
              </w:rPr>
              <w:t>02/13/2026</w:t>
            </w:r>
          </w:p>
        </w:tc>
        <w:tc>
          <w:tcPr>
            <w:tcW w:w="6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16,782</w:t>
            </w:r>
            <w:r>
              <w:rPr>
                <w:rFonts w:ascii="Times New Roman" w:cs="Times New Roman" w:eastAsia="Times New Roman" w:hAnsi="Times New Roman"/>
                <w:sz w:val="20"/>
                <w:szCs w:val="20"/>
                <w:color w:val="008000"/>
                <w:vertAlign w:val="superscript"/>
              </w:rPr>
              <w:t>(1)</w:t>
            </w:r>
          </w:p>
        </w:tc>
        <w:tc>
          <w:tcPr>
            <w:tcW w:w="6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8.25</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6"/>
                <w:szCs w:val="16"/>
                <w:color w:val="0000FF"/>
              </w:rPr>
              <w:t>647,218</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320" w:type="dxa"/>
            <w:vAlign w:val="bottom"/>
            <w:tcBorders>
              <w:top w:val="single" w:sz="8" w:color="2C2C2C"/>
            </w:tcBorders>
            <w:gridSpan w:val="11"/>
          </w:tcPr>
          <w:p>
            <w:pPr>
              <w:jc w:val="right"/>
              <w:ind w:right="2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40" w:type="dxa"/>
            <w:vAlign w:val="bottom"/>
            <w:gridSpan w:val="10"/>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spacing w:after="0"/>
              <w:rPr>
                <w:sz w:val="20"/>
                <w:szCs w:val="20"/>
                <w:color w:val="auto"/>
              </w:rPr>
            </w:pPr>
            <w:r>
              <w:rPr>
                <w:rFonts w:ascii="Arial" w:cs="Arial" w:eastAsia="Arial" w:hAnsi="Arial"/>
                <w:sz w:val="11"/>
                <w:szCs w:val="11"/>
                <w:b w:val="1"/>
                <w:bCs w:val="1"/>
                <w:color w:val="auto"/>
              </w:rPr>
              <w:t>4.</w:t>
            </w:r>
          </w:p>
        </w:tc>
        <w:tc>
          <w:tcPr>
            <w:tcW w:w="10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spacing w:after="0" w:line="125" w:lineRule="exact"/>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line="125" w:lineRule="exact"/>
              <w:rPr>
                <w:sz w:val="20"/>
                <w:szCs w:val="20"/>
                <w:color w:val="auto"/>
              </w:rPr>
            </w:pPr>
            <w:r>
              <w:rPr>
                <w:rFonts w:ascii="Arial" w:cs="Arial" w:eastAsia="Arial" w:hAnsi="Arial"/>
                <w:sz w:val="11"/>
                <w:szCs w:val="11"/>
                <w:b w:val="1"/>
                <w:bCs w:val="1"/>
                <w:color w:val="auto"/>
                <w:w w:val="98"/>
              </w:rPr>
              <w:t>Derivative</w:t>
            </w:r>
          </w:p>
        </w:tc>
        <w:tc>
          <w:tcPr>
            <w:tcW w:w="440" w:type="dxa"/>
            <w:vAlign w:val="bottom"/>
          </w:tcPr>
          <w:p>
            <w:pPr>
              <w:spacing w:after="0"/>
              <w:rPr>
                <w:sz w:val="10"/>
                <w:szCs w:val="10"/>
                <w:color w:val="auto"/>
              </w:rPr>
            </w:pPr>
          </w:p>
        </w:tc>
        <w:tc>
          <w:tcPr>
            <w:tcW w:w="14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of Securities</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20" w:type="dxa"/>
            <w:vAlign w:val="bottom"/>
          </w:tcPr>
          <w:p>
            <w:pPr>
              <w:spacing w:after="0" w:line="125"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line="125" w:lineRule="exact"/>
              <w:rPr>
                <w:sz w:val="20"/>
                <w:szCs w:val="20"/>
                <w:color w:val="auto"/>
              </w:rPr>
            </w:pPr>
            <w:r>
              <w:rPr>
                <w:rFonts w:ascii="Arial" w:cs="Arial" w:eastAsia="Arial" w:hAnsi="Arial"/>
                <w:sz w:val="11"/>
                <w:szCs w:val="11"/>
                <w:b w:val="1"/>
                <w:bCs w:val="1"/>
                <w:color w:val="auto"/>
                <w:w w:val="98"/>
              </w:rPr>
              <w:t>Securities</w:t>
            </w:r>
          </w:p>
        </w:tc>
        <w:tc>
          <w:tcPr>
            <w:tcW w:w="440" w:type="dxa"/>
            <w:vAlign w:val="bottom"/>
          </w:tcPr>
          <w:p>
            <w:pPr>
              <w:spacing w:after="0"/>
              <w:rPr>
                <w:sz w:val="10"/>
                <w:szCs w:val="10"/>
                <w:color w:val="auto"/>
              </w:rPr>
            </w:pPr>
          </w:p>
        </w:tc>
        <w:tc>
          <w:tcPr>
            <w:tcW w:w="14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600" w:type="dxa"/>
            <w:vAlign w:val="bottom"/>
          </w:tcPr>
          <w:p>
            <w:pPr>
              <w:spacing w:after="0" w:line="125"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1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spacing w:after="0" w:line="125" w:lineRule="exact"/>
              <w:rPr>
                <w:sz w:val="20"/>
                <w:szCs w:val="20"/>
                <w:color w:val="auto"/>
              </w:rPr>
            </w:pPr>
            <w:r>
              <w:rPr>
                <w:rFonts w:ascii="Arial" w:cs="Arial" w:eastAsia="Arial" w:hAnsi="Arial"/>
                <w:sz w:val="11"/>
                <w:szCs w:val="11"/>
                <w:b w:val="1"/>
                <w:bCs w:val="1"/>
                <w:color w:val="auto"/>
              </w:rPr>
              <w:t>8)</w:t>
            </w:r>
          </w:p>
        </w:tc>
        <w:tc>
          <w:tcPr>
            <w:tcW w:w="10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6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6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vMerge w:val="restart"/>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jc w:val="center"/>
              <w:ind w:right="19"/>
              <w:spacing w:after="0" w:line="125"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4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260"/>
              <w:spacing w:after="0"/>
              <w:rPr>
                <w:sz w:val="20"/>
                <w:szCs w:val="20"/>
                <w:color w:val="auto"/>
              </w:rPr>
            </w:pPr>
            <w:r>
              <w:rPr>
                <w:rFonts w:ascii="Arial" w:cs="Arial" w:eastAsia="Arial" w:hAnsi="Arial"/>
                <w:sz w:val="22"/>
                <w:szCs w:val="22"/>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0"/>
                <w:szCs w:val="10"/>
                <w:color w:val="008000"/>
              </w:rPr>
              <w:t>(2)</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jc w:val="right"/>
              <w:ind w:right="36"/>
              <w:spacing w:after="0"/>
              <w:rPr>
                <w:sz w:val="20"/>
                <w:szCs w:val="20"/>
                <w:color w:val="auto"/>
              </w:rPr>
            </w:pPr>
            <w:r>
              <w:rPr>
                <w:rFonts w:ascii="Times New Roman" w:cs="Times New Roman" w:eastAsia="Times New Roman" w:hAnsi="Times New Roman"/>
                <w:sz w:val="16"/>
                <w:szCs w:val="16"/>
                <w:color w:val="0000FF"/>
              </w:rPr>
              <w:t>37,677</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5"/>
                <w:szCs w:val="5"/>
                <w:color w:val="auto"/>
              </w:rPr>
            </w:pPr>
          </w:p>
        </w:tc>
        <w:tc>
          <w:tcPr>
            <w:tcW w:w="1040" w:type="dxa"/>
            <w:vAlign w:val="bottom"/>
            <w:vMerge w:val="restart"/>
          </w:tcPr>
          <w:p>
            <w:pPr>
              <w:jc w:val="right"/>
              <w:ind w:right="161"/>
              <w:spacing w:after="0" w:line="138" w:lineRule="exact"/>
              <w:rPr>
                <w:sz w:val="20"/>
                <w:szCs w:val="20"/>
                <w:color w:val="auto"/>
              </w:rPr>
            </w:pPr>
            <w:r>
              <w:rPr>
                <w:rFonts w:ascii="Times New Roman" w:cs="Times New Roman" w:eastAsia="Times New Roman" w:hAnsi="Times New Roman"/>
                <w:sz w:val="13"/>
                <w:szCs w:val="13"/>
                <w:color w:val="0000FF"/>
              </w:rPr>
              <w:t>02/13/2026</w:t>
            </w: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vMerge w:val="restart"/>
          </w:tcPr>
          <w:p>
            <w:pPr>
              <w:ind w:left="100"/>
              <w:spacing w:after="0" w:line="138" w:lineRule="exact"/>
              <w:rPr>
                <w:sz w:val="20"/>
                <w:szCs w:val="20"/>
                <w:color w:val="auto"/>
              </w:rPr>
            </w:pPr>
            <w:r>
              <w:rPr>
                <w:rFonts w:ascii="Times New Roman" w:cs="Times New Roman" w:eastAsia="Times New Roman" w:hAnsi="Times New Roman"/>
                <w:sz w:val="13"/>
                <w:szCs w:val="13"/>
                <w:color w:val="0000FF"/>
              </w:rPr>
              <w:t>M</w:t>
            </w:r>
          </w:p>
        </w:tc>
        <w:tc>
          <w:tcPr>
            <w:tcW w:w="620" w:type="dxa"/>
            <w:vAlign w:val="bottom"/>
          </w:tcPr>
          <w:p>
            <w:pPr>
              <w:spacing w:after="0"/>
              <w:rPr>
                <w:sz w:val="5"/>
                <w:szCs w:val="5"/>
                <w:color w:val="auto"/>
              </w:rPr>
            </w:pPr>
          </w:p>
        </w:tc>
        <w:tc>
          <w:tcPr>
            <w:tcW w:w="440" w:type="dxa"/>
            <w:vAlign w:val="bottom"/>
            <w:vMerge w:val="restart"/>
          </w:tcPr>
          <w:p>
            <w:pPr>
              <w:spacing w:after="0" w:line="138" w:lineRule="exact"/>
              <w:rPr>
                <w:sz w:val="20"/>
                <w:szCs w:val="20"/>
                <w:color w:val="auto"/>
              </w:rPr>
            </w:pPr>
            <w:r>
              <w:rPr>
                <w:rFonts w:ascii="Times New Roman" w:cs="Times New Roman" w:eastAsia="Times New Roman" w:hAnsi="Times New Roman"/>
                <w:sz w:val="13"/>
                <w:szCs w:val="13"/>
                <w:color w:val="0000FF"/>
              </w:rPr>
              <w:t>37,677</w:t>
            </w:r>
          </w:p>
        </w:tc>
        <w:tc>
          <w:tcPr>
            <w:tcW w:w="7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restart"/>
          </w:tcPr>
          <w:p>
            <w:pPr>
              <w:jc w:val="right"/>
              <w:ind w:righ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gridSpan w:val="2"/>
            <w:vMerge w:val="restart"/>
          </w:tcPr>
          <w:p>
            <w:pPr>
              <w:ind w:left="180"/>
              <w:spacing w:after="0" w:line="138" w:lineRule="exact"/>
              <w:rPr>
                <w:sz w:val="20"/>
                <w:szCs w:val="20"/>
                <w:color w:val="auto"/>
              </w:rPr>
            </w:pPr>
            <w:r>
              <w:rPr>
                <w:rFonts w:ascii="Times New Roman" w:cs="Times New Roman" w:eastAsia="Times New Roman" w:hAnsi="Times New Roman"/>
                <w:sz w:val="13"/>
                <w:szCs w:val="13"/>
                <w:color w:val="0000FF"/>
              </w:rPr>
              <w:t>343,026</w:t>
            </w:r>
          </w:p>
        </w:tc>
        <w:tc>
          <w:tcPr>
            <w:tcW w:w="640" w:type="dxa"/>
            <w:vAlign w:val="bottom"/>
            <w:vMerge w:val="restart"/>
          </w:tcPr>
          <w:p>
            <w:pPr>
              <w:ind w:left="3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0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260"/>
              <w:spacing w:after="0"/>
              <w:rPr>
                <w:sz w:val="20"/>
                <w:szCs w:val="20"/>
                <w:color w:val="auto"/>
              </w:rPr>
            </w:pPr>
            <w:r>
              <w:rPr>
                <w:rFonts w:ascii="Arial" w:cs="Arial" w:eastAsia="Arial" w:hAnsi="Arial"/>
                <w:sz w:val="22"/>
                <w:szCs w:val="22"/>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0"/>
                <w:szCs w:val="10"/>
                <w:color w:val="008000"/>
              </w:rPr>
              <w:t>(2)</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(3)</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6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165,854</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0"/>
                <w:szCs w:val="10"/>
                <w:color w:val="auto"/>
              </w:rPr>
            </w:pPr>
          </w:p>
        </w:tc>
        <w:tc>
          <w:tcPr>
            <w:tcW w:w="1040" w:type="dxa"/>
            <w:vAlign w:val="bottom"/>
          </w:tcPr>
          <w:p>
            <w:pPr>
              <w:jc w:val="right"/>
              <w:ind w:right="161"/>
              <w:spacing w:after="0" w:line="126" w:lineRule="exact"/>
              <w:rPr>
                <w:sz w:val="20"/>
                <w:szCs w:val="20"/>
                <w:color w:val="auto"/>
              </w:rPr>
            </w:pPr>
            <w:r>
              <w:rPr>
                <w:rFonts w:ascii="Times New Roman" w:cs="Times New Roman" w:eastAsia="Times New Roman" w:hAnsi="Times New Roman"/>
                <w:sz w:val="13"/>
                <w:szCs w:val="13"/>
                <w:color w:val="0000FF"/>
              </w:rPr>
              <w:t>02/17/2026</w:t>
            </w: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ind w:left="100"/>
              <w:spacing w:after="0" w:line="126" w:lineRule="exact"/>
              <w:rPr>
                <w:sz w:val="20"/>
                <w:szCs w:val="20"/>
                <w:color w:val="auto"/>
              </w:rPr>
            </w:pPr>
            <w:r>
              <w:rPr>
                <w:rFonts w:ascii="Times New Roman" w:cs="Times New Roman" w:eastAsia="Times New Roman" w:hAnsi="Times New Roman"/>
                <w:sz w:val="13"/>
                <w:szCs w:val="13"/>
                <w:color w:val="0000FF"/>
              </w:rPr>
              <w:t>A</w:t>
            </w:r>
          </w:p>
        </w:tc>
        <w:tc>
          <w:tcPr>
            <w:tcW w:w="620" w:type="dxa"/>
            <w:vAlign w:val="bottom"/>
          </w:tcPr>
          <w:p>
            <w:pPr>
              <w:ind w:left="80"/>
              <w:spacing w:after="0" w:line="126" w:lineRule="exact"/>
              <w:rPr>
                <w:sz w:val="20"/>
                <w:szCs w:val="20"/>
                <w:color w:val="auto"/>
              </w:rPr>
            </w:pPr>
            <w:r>
              <w:rPr>
                <w:rFonts w:ascii="Times New Roman" w:cs="Times New Roman" w:eastAsia="Times New Roman" w:hAnsi="Times New Roman"/>
                <w:sz w:val="13"/>
                <w:szCs w:val="13"/>
                <w:color w:val="0000FF"/>
              </w:rPr>
              <w:t>165,854</w:t>
            </w:r>
          </w:p>
        </w:tc>
        <w:tc>
          <w:tcPr>
            <w:tcW w:w="4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ind w:right="280"/>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gridSpan w:val="2"/>
          </w:tcPr>
          <w:p>
            <w:pPr>
              <w:ind w:left="180"/>
              <w:spacing w:after="0" w:line="126" w:lineRule="exact"/>
              <w:rPr>
                <w:sz w:val="20"/>
                <w:szCs w:val="20"/>
                <w:color w:val="auto"/>
              </w:rPr>
            </w:pPr>
            <w:r>
              <w:rPr>
                <w:rFonts w:ascii="Times New Roman" w:cs="Times New Roman" w:eastAsia="Times New Roman" w:hAnsi="Times New Roman"/>
                <w:sz w:val="13"/>
                <w:szCs w:val="13"/>
                <w:color w:val="0000FF"/>
              </w:rPr>
              <w:t>508,880</w:t>
            </w:r>
          </w:p>
        </w:tc>
        <w:tc>
          <w:tcPr>
            <w:tcW w:w="640" w:type="dxa"/>
            <w:vAlign w:val="bottom"/>
          </w:tcPr>
          <w:p>
            <w:pPr>
              <w:ind w:left="340"/>
              <w:spacing w:after="0" w:line="126"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ind w:left="10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-1975485</wp:posOffset>
            </wp:positionV>
            <wp:extent cx="28575" cy="19812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98120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4"/>
          <w:szCs w:val="24"/>
          <w:color w:val="auto"/>
        </w:rPr>
      </w:pPr>
    </w:p>
    <w:p>
      <w:pPr>
        <w:ind w:left="40" w:right="220" w:hanging="2"/>
        <w:spacing w:after="0" w:line="308" w:lineRule="auto"/>
        <w:tabs>
          <w:tab w:leader="none" w:pos="165" w:val="left"/>
        </w:tabs>
        <w:numPr>
          <w:ilvl w:val="0"/>
          <w:numId w:val="2"/>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On February 13, 2023, the reporting person was granted 150,711 restricted stock units, vesting in four equal, annual installments beginning on the grant date. On February 13, 2026, the final 25% of the grant vested (37,677 shares), and were settled in PDM common stock. In connection with this vesting, 16,782 shares were forfeited by the employee and delivered to PDM to satisfy tax withholding obligations.</w:t>
      </w: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deferred stock unit represents a contingent right to receive one share of PDM common stock. Deferred stock units may be settled in cash or common stock at PDM's election.</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17, 2026, the reporting person was granted 165,854 deferred stock units, vesting in four equal, annual installments beginning on the anniversary of the grant date.</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9"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M. Wade Grace III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-4445</wp:posOffset>
            </wp:positionV>
            <wp:extent cx="10134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3460" cy="8255"/>
                    </a:xfrm>
                    <a:prstGeom prst="rect">
                      <a:avLst/>
                    </a:prstGeom>
                    <a:noFill/>
                  </pic:spPr>
                </pic:pic>
              </a:graphicData>
            </a:graphic>
          </wp:anchor>
        </w:drawing>
      </w:r>
    </w:p>
    <w:p>
      <w:pPr>
        <w:spacing w:after="0" w:line="7"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Attorney-in-Fact for Christopher 02/18/2026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-11430</wp:posOffset>
            </wp:positionV>
            <wp:extent cx="18700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007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Brent Smith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-11430</wp:posOffset>
            </wp:positionV>
            <wp:extent cx="5022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2285" cy="8255"/>
                    </a:xfrm>
                    <a:prstGeom prst="rect">
                      <a:avLst/>
                    </a:prstGeom>
                    <a:noFill/>
                  </pic:spPr>
                </pic:pic>
              </a:graphicData>
            </a:graphic>
          </wp:anchor>
        </w:drawing>
      </w:r>
    </w:p>
    <w:p>
      <w:pPr>
        <w:spacing w:after="0" w:line="3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1"/>
          <w:szCs w:val="11"/>
          <w:color w:val="auto"/>
        </w:rPr>
        <w:t>Date</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4"/>
          <w:szCs w:val="24"/>
          <w:color w:val="auto"/>
        </w:rPr>
      </w:pPr>
    </w:p>
    <w:p>
      <w:pPr>
        <w:jc w:val="both"/>
        <w:ind w:left="40" w:right="3820" w:hanging="2"/>
        <w:spacing w:after="0" w:line="356" w:lineRule="auto"/>
        <w:tabs>
          <w:tab w:leader="none" w:pos="17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57666" TargetMode="External"/><Relationship Id="rId14" Type="http://schemas.openxmlformats.org/officeDocument/2006/relationships/hyperlink" Target="http://www.sec.gov/cgi-bin/browse-edgar?action=getcompany&amp;CIK=00010427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2026-02-18T15:32:02Z</dcterms:created>
  <dcterms:modified xsi:type="dcterms:W3CDTF">2026-02-18T15:32:02Z</dcterms:modified>
</cp:coreProperties>
</file>