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UNITED STATES </w:t>
      </w:r>
    </w:p>
    <w:p>
      <w:pPr>
        <w:pStyle w:val="TextBody"/>
        <w:bidi w:val="0"/>
        <w:spacing w:lineRule="auto" w:line="288" w:before="0" w:after="0"/>
        <w:jc w:val="center"/>
        <w:rPr/>
      </w:pPr>
      <w:r>
        <w:rPr>
          <w:rFonts w:ascii="Times New Roman;serif" w:hAnsi="Times New Roman;serif"/>
          <w:b/>
          <w:color w:val="000000"/>
          <w:sz w:val="26"/>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26"/>
        </w:rPr>
        <w:t>CURRENT REPORT</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6"/>
        </w:rPr>
        <w:t>Pursuant to Section 13 or 15(d) of the Securities Exchange Act of 1934</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April 30, 2026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36"/>
        </w:rPr>
        <w:t>Piedmont Realty Trust, Inc.</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Commission File Number:  001-34626</w:t>
      </w:r>
      <w:r>
        <w:rPr>
          <w:color w:val="000000"/>
        </w:rPr>
        <w:t xml:space="preserve"> </w:t>
      </w:r>
    </w:p>
    <w:p>
      <w:pPr>
        <w:pStyle w:val="TextBody"/>
        <w:bidi w:val="0"/>
        <w:spacing w:lineRule="auto" w:line="288" w:before="0" w:after="0"/>
        <w:jc w:val="left"/>
        <w:rPr>
          <w:color w:val="000000"/>
        </w:rPr>
      </w:pPr>
      <w:r>
        <w:rPr>
          <w:color w:val="000000"/>
        </w:rPr>
        <w:t xml:space="preserve">  </w:t>
      </w:r>
    </w:p>
    <w:tbl>
      <w:tblPr>
        <w:tblW w:w="4571" w:type="dxa"/>
        <w:jc w:val="left"/>
        <w:tblInd w:w="0" w:type="dxa"/>
        <w:tblLayout w:type="fixed"/>
        <w:tblCellMar>
          <w:top w:w="28" w:type="dxa"/>
          <w:left w:w="28" w:type="dxa"/>
          <w:bottom w:w="28" w:type="dxa"/>
          <w:right w:w="28" w:type="dxa"/>
        </w:tblCellMar>
      </w:tblPr>
      <w:tblGrid>
        <w:gridCol w:w="927"/>
        <w:gridCol w:w="817"/>
        <w:gridCol w:w="821"/>
        <w:gridCol w:w="109"/>
        <w:gridCol w:w="109"/>
        <w:gridCol w:w="109"/>
        <w:gridCol w:w="490"/>
        <w:gridCol w:w="490"/>
        <w:gridCol w:w="699"/>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58-2328421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5565 Glenridge Connector Ste. 450</w:t>
      </w:r>
    </w:p>
    <w:p>
      <w:pPr>
        <w:pStyle w:val="TextBody"/>
        <w:bidi w:val="0"/>
        <w:spacing w:lineRule="auto" w:line="288" w:before="0" w:after="0"/>
        <w:jc w:val="center"/>
        <w:rPr/>
      </w:pPr>
      <w:r>
        <w:rPr>
          <w:rFonts w:ascii="Times New Roman;serif" w:hAnsi="Times New Roman;serif"/>
          <w:b/>
          <w:color w:val="000000"/>
          <w:sz w:val="24"/>
        </w:rPr>
        <w:t>Atlanta, Georgia 30342</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(Address of principal executive offices, including zip code)</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(770) 418-8800</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(Registrant's telephone number, including area code)</w:t>
      </w:r>
      <w:r>
        <w:rPr>
          <w:color w:val="000000"/>
        </w:rPr>
        <w:t xml:space="preserve"> </w:t>
      </w:r>
    </w:p>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color w:val="000000"/>
          <w:sz w:val="18"/>
        </w:rPr>
        <w:t>(Former name or former address, if changed since last report)</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971" w:type="dxa"/>
        <w:jc w:val="center"/>
        <w:tblInd w:w="0" w:type="dxa"/>
        <w:tblLayout w:type="fixed"/>
        <w:tblCellMar>
          <w:top w:w="28" w:type="dxa"/>
          <w:left w:w="28" w:type="dxa"/>
          <w:bottom w:w="28" w:type="dxa"/>
          <w:right w:w="28" w:type="dxa"/>
        </w:tblCellMar>
      </w:tblPr>
      <w:tblGrid>
        <w:gridCol w:w="987"/>
        <w:gridCol w:w="865"/>
        <w:gridCol w:w="877"/>
        <w:gridCol w:w="109"/>
        <w:gridCol w:w="109"/>
        <w:gridCol w:w="109"/>
        <w:gridCol w:w="424"/>
        <w:gridCol w:w="424"/>
        <w:gridCol w:w="426"/>
        <w:gridCol w:w="109"/>
        <w:gridCol w:w="109"/>
        <w:gridCol w:w="109"/>
        <w:gridCol w:w="970"/>
        <w:gridCol w:w="970"/>
        <w:gridCol w:w="1374"/>
      </w:tblGrid>
      <w:tr>
        <w:trPr/>
        <w:tc>
          <w:tcPr>
            <w:tcW w:w="98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rFonts w:ascii="Times New Roman;serif" w:hAnsi="Times New Roman;serif"/>
          <w:b w:val="false"/>
          <w:color w:val="000000"/>
          <w:sz w:val="1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Emerging growth company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sans-serif" w:hAnsi="Wingdings;sans-serif"/>
          <w:b w:val="false"/>
          <w:color w:val="000000"/>
          <w:sz w:val="20"/>
        </w:rPr>
        <w:t xml:space="preserve">o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30, 2026, Piedmont Realty Trust, Inc. (the "Registrant") issued an earnings release and supplemental information announcing its financial results for the first quarter 2026 and published the earnings release and supplemental information for the first quarter 2026 to its website under Investor Relations. The earnings release and the supplemental information are attached hereto as Exhibit 99.1, and are incorporated herein by reference. Pursuant to the rules and regulations of the Securities and Exchange Commission, such exhibits and the information set forth therein are deemed to have been furnished and shall not be deemed to be “filed” under the Securities Exchange Act of 1934.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before="0" w:after="0"/>
        <w:jc w:val="left"/>
        <w:rPr/>
      </w:pPr>
      <w:r>
        <w:rPr/>
      </w:r>
    </w:p>
    <w:tbl>
      <w:tblPr>
        <w:tblW w:w="9446" w:type="dxa"/>
        <w:jc w:val="center"/>
        <w:tblInd w:w="0" w:type="dxa"/>
        <w:tblLayout w:type="fixed"/>
        <w:tblCellMar>
          <w:top w:w="28" w:type="dxa"/>
          <w:left w:w="28" w:type="dxa"/>
          <w:bottom w:w="28" w:type="dxa"/>
          <w:right w:w="28" w:type="dxa"/>
        </w:tblCellMar>
      </w:tblPr>
      <w:tblGrid>
        <w:gridCol w:w="363"/>
        <w:gridCol w:w="320"/>
        <w:gridCol w:w="321"/>
        <w:gridCol w:w="109"/>
        <w:gridCol w:w="109"/>
        <w:gridCol w:w="109"/>
        <w:gridCol w:w="2372"/>
        <w:gridCol w:w="2372"/>
        <w:gridCol w:w="3371"/>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m33126ex991q12026ersuppl.htm">
              <w:r>
                <w:rPr>
                  <w:rStyle w:val="InternetLink"/>
                  <w:rFonts w:ascii="Times New Roman;serif" w:hAnsi="Times New Roman;serif"/>
                  <w:b w:val="false"/>
                  <w:color w:val="0000FF"/>
                  <w:sz w:val="20"/>
                  <w:u w:val="single"/>
                </w:rPr>
                <w:t>Piedmont Realty Trust, Inc. Earnings Release and Supplemental Information for First Quarter 2026</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Current Report on Form 8-K to be signed on its behalf by the undersigned hereunto duly authorized. </w:t>
      </w:r>
    </w:p>
    <w:p>
      <w:pPr>
        <w:pStyle w:val="TextBody"/>
        <w:bidi w:val="0"/>
        <w:spacing w:lineRule="auto" w:line="288" w:before="0" w:after="0"/>
        <w:jc w:val="left"/>
        <w:rPr>
          <w:color w:val="000000"/>
        </w:rPr>
      </w:pPr>
      <w:r>
        <w:rPr>
          <w:color w:val="000000"/>
        </w:rPr>
        <w:t xml:space="preserve">  </w:t>
      </w:r>
    </w:p>
    <w:tbl>
      <w:tblPr>
        <w:tblW w:w="7447"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134"/>
        <w:gridCol w:w="134"/>
        <w:gridCol w:w="136"/>
        <w:gridCol w:w="109"/>
        <w:gridCol w:w="109"/>
        <w:gridCol w:w="109"/>
        <w:gridCol w:w="1297"/>
        <w:gridCol w:w="1297"/>
        <w:gridCol w:w="18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Piedmont Realty Trust,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Sherry L. Rexroad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Sherry L. Rexroad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Executive Vice President</w:t>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602" w:type="dxa"/>
        <w:jc w:val="right"/>
        <w:tblInd w:w="0" w:type="dxa"/>
        <w:tblLayout w:type="fixed"/>
        <w:tblCellMar>
          <w:top w:w="28" w:type="dxa"/>
          <w:left w:w="28" w:type="dxa"/>
          <w:bottom w:w="28" w:type="dxa"/>
          <w:right w:w="28" w:type="dxa"/>
        </w:tblCellMar>
      </w:tblPr>
      <w:tblGrid>
        <w:gridCol w:w="124"/>
        <w:gridCol w:w="109"/>
        <w:gridCol w:w="109"/>
        <w:gridCol w:w="368"/>
        <w:gridCol w:w="368"/>
        <w:gridCol w:w="5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EXHIBIT 99.1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drawing>
          <wp:inline distT="0" distB="0" distL="0" distR="0">
            <wp:extent cx="10058400" cy="7772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058400" cy="7772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Earnings Release and Supplemental Information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Index</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18" w:type="dxa"/>
        <w:jc w:val="left"/>
        <w:tblInd w:w="0" w:type="dxa"/>
        <w:tblLayout w:type="fixed"/>
        <w:tblCellMar>
          <w:top w:w="28" w:type="dxa"/>
          <w:left w:w="28" w:type="dxa"/>
          <w:bottom w:w="28" w:type="dxa"/>
          <w:right w:w="28" w:type="dxa"/>
        </w:tblCellMar>
      </w:tblPr>
      <w:tblGrid>
        <w:gridCol w:w="1627"/>
        <w:gridCol w:w="1433"/>
        <w:gridCol w:w="1439"/>
        <w:gridCol w:w="165"/>
        <w:gridCol w:w="165"/>
        <w:gridCol w:w="166"/>
        <w:gridCol w:w="109"/>
        <w:gridCol w:w="109"/>
        <w:gridCol w:w="109"/>
        <w:gridCol w:w="1184"/>
        <w:gridCol w:w="1184"/>
        <w:gridCol w:w="1187"/>
        <w:gridCol w:w="158"/>
        <w:gridCol w:w="158"/>
        <w:gridCol w:w="225"/>
      </w:tblGrid>
      <w:tr>
        <w:trPr/>
        <w:tc>
          <w:tcPr>
            <w:tcW w:w="16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Introduction</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Diversification Tables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Forward-Looking Statements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10">
              <w:r>
                <w:rPr>
                  <w:rStyle w:val="InternetLink"/>
                  <w:rFonts w:ascii="Arial;sans-serif" w:hAnsi="Arial;sans-serif"/>
                  <w:b w:val="false"/>
                  <w:color w:val="3051F2"/>
                  <w:sz w:val="16"/>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Diversification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70">
              <w:r>
                <w:rPr>
                  <w:rStyle w:val="InternetLink"/>
                  <w:rFonts w:ascii="Arial;sans-serif" w:hAnsi="Arial;sans-serif"/>
                  <w:b w:val="false"/>
                  <w:color w:val="3051F2"/>
                  <w:sz w:val="16"/>
                  <w:u w:val="single"/>
                </w:rPr>
                <w:t>30</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Release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13">
              <w:r>
                <w:rPr>
                  <w:rStyle w:val="InternetLink"/>
                  <w:rFonts w:ascii="Arial;sans-serif" w:hAnsi="Arial;sans-serif"/>
                  <w:b w:val="false"/>
                  <w:color w:val="3051F2"/>
                  <w:sz w:val="16"/>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Credit Rating &amp; Lease Distribution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73">
              <w:r>
                <w:rPr>
                  <w:rStyle w:val="InternetLink"/>
                  <w:rFonts w:ascii="Arial;sans-serif" w:hAnsi="Arial;sans-serif"/>
                  <w:b w:val="false"/>
                  <w:color w:val="3051F2"/>
                  <w:sz w:val="16"/>
                  <w:u w:val="single"/>
                </w:rPr>
                <w:t>31</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Company Information</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16">
              <w:r>
                <w:rPr>
                  <w:rStyle w:val="InternetLink"/>
                  <w:rFonts w:ascii="Arial;sans-serif" w:hAnsi="Arial;sans-serif"/>
                  <w:b w:val="false"/>
                  <w:color w:val="3051F2"/>
                  <w:sz w:val="16"/>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Industry Diversification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76">
              <w:r>
                <w:rPr>
                  <w:rStyle w:val="InternetLink"/>
                  <w:rFonts w:ascii="Arial;sans-serif" w:hAnsi="Arial;sans-serif"/>
                  <w:b w:val="false"/>
                  <w:color w:val="3051F2"/>
                  <w:sz w:val="16"/>
                  <w:u w:val="single"/>
                </w:rPr>
                <w:t>32</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Coverage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19">
              <w:r>
                <w:rPr>
                  <w:rStyle w:val="InternetLink"/>
                  <w:rFonts w:ascii="Arial;sans-serif" w:hAnsi="Arial;sans-serif"/>
                  <w:b w:val="false"/>
                  <w:color w:val="3051F2"/>
                  <w:sz w:val="16"/>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Geographic Diversification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79">
              <w:r>
                <w:rPr>
                  <w:rStyle w:val="InternetLink"/>
                  <w:rFonts w:ascii="Arial;sans-serif" w:hAnsi="Arial;sans-serif"/>
                  <w:b w:val="false"/>
                  <w:color w:val="3051F2"/>
                  <w:sz w:val="16"/>
                  <w:u w:val="single"/>
                </w:rPr>
                <w:t>33</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Statistics &amp; Key Performance Indicators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22">
              <w:r>
                <w:rPr>
                  <w:rStyle w:val="InternetLink"/>
                  <w:rFonts w:ascii="Arial;sans-serif" w:hAnsi="Arial;sans-serif"/>
                  <w:b w:val="false"/>
                  <w:color w:val="3051F2"/>
                  <w:sz w:val="16"/>
                  <w:u w:val="single"/>
                </w:rPr>
                <w:t>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Geographic Diversification by Location Type</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82">
              <w:r>
                <w:rPr>
                  <w:rStyle w:val="InternetLink"/>
                  <w:rFonts w:ascii="Arial;sans-serif" w:hAnsi="Arial;sans-serif"/>
                  <w:b w:val="false"/>
                  <w:color w:val="3051F2"/>
                  <w:sz w:val="16"/>
                  <w:u w:val="single"/>
                </w:rPr>
                <w:t>34</w:t>
              </w:r>
            </w:hyperlink>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Portfolio Information</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Balance Sheets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25">
              <w:r>
                <w:rPr>
                  <w:rStyle w:val="InternetLink"/>
                  <w:rFonts w:ascii="Arial;sans-serif" w:hAnsi="Arial;sans-serif"/>
                  <w:b w:val="false"/>
                  <w:color w:val="3051F2"/>
                  <w:sz w:val="16"/>
                  <w:u w:val="single"/>
                </w:rPr>
                <w:t>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Detail</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85">
              <w:r>
                <w:rPr>
                  <w:rStyle w:val="InternetLink"/>
                  <w:rFonts w:ascii="Arial;sans-serif" w:hAnsi="Arial;sans-serif"/>
                  <w:b w:val="false"/>
                  <w:color w:val="3051F2"/>
                  <w:sz w:val="16"/>
                  <w:u w:val="single"/>
                </w:rPr>
                <w:t>35</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Statements of Income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28">
              <w:r>
                <w:rPr>
                  <w:rStyle w:val="InternetLink"/>
                  <w:rFonts w:ascii="Arial;sans-serif" w:hAnsi="Arial;sans-serif"/>
                  <w:b w:val="false"/>
                  <w:color w:val="3051F2"/>
                  <w:sz w:val="16"/>
                  <w:u w:val="single"/>
                </w:rPr>
                <w:t>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Investment Activity and Land Holdings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88">
              <w:r>
                <w:rPr>
                  <w:rStyle w:val="InternetLink"/>
                  <w:rFonts w:ascii="Arial;sans-serif" w:hAnsi="Arial;sans-serif"/>
                  <w:b w:val="false"/>
                  <w:color w:val="3051F2"/>
                  <w:sz w:val="16"/>
                  <w:u w:val="single"/>
                </w:rPr>
                <w:t>37</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Funds From Operations &amp; Adjusted Funds From Operations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31">
              <w:r>
                <w:rPr>
                  <w:rStyle w:val="InternetLink"/>
                  <w:rFonts w:ascii="Arial;sans-serif" w:hAnsi="Arial;sans-serif"/>
                  <w:b w:val="false"/>
                  <w:color w:val="3051F2"/>
                  <w:sz w:val="16"/>
                  <w:u w:val="single"/>
                </w:rPr>
                <w:t>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Same Store Net Operating Income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34">
              <w:r>
                <w:rPr>
                  <w:rStyle w:val="InternetLink"/>
                  <w:rFonts w:ascii="Arial;sans-serif" w:hAnsi="Arial;sans-serif"/>
                  <w:b w:val="false"/>
                  <w:color w:val="3051F2"/>
                  <w:sz w:val="16"/>
                  <w:u w:val="single"/>
                </w:rPr>
                <w:t>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Supporting Information</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Summary</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37">
              <w:r>
                <w:rPr>
                  <w:rStyle w:val="InternetLink"/>
                  <w:rFonts w:ascii="Arial;sans-serif" w:hAnsi="Arial;sans-serif"/>
                  <w:b w:val="false"/>
                  <w:color w:val="3051F2"/>
                  <w:sz w:val="16"/>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Definitions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91">
              <w:r>
                <w:rPr>
                  <w:rStyle w:val="InternetLink"/>
                  <w:rFonts w:ascii="Arial;sans-serif" w:hAnsi="Arial;sans-serif"/>
                  <w:b w:val="false"/>
                  <w:color w:val="3051F2"/>
                  <w:sz w:val="16"/>
                  <w:u w:val="single"/>
                </w:rPr>
                <w:t>38</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Detail</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40">
              <w:r>
                <w:rPr>
                  <w:rStyle w:val="InternetLink"/>
                  <w:rFonts w:ascii="Arial;sans-serif" w:hAnsi="Arial;sans-serif"/>
                  <w:b w:val="false"/>
                  <w:color w:val="3051F2"/>
                  <w:sz w:val="16"/>
                  <w:u w:val="single"/>
                </w:rPr>
                <w:t>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Reconciliations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94">
              <w:r>
                <w:rPr>
                  <w:rStyle w:val="InternetLink"/>
                  <w:rFonts w:ascii="Arial;sans-serif" w:hAnsi="Arial;sans-serif"/>
                  <w:b w:val="false"/>
                  <w:color w:val="3051F2"/>
                  <w:sz w:val="16"/>
                  <w:u w:val="single"/>
                </w:rPr>
                <w:t>39</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Covenants &amp; Ratios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43">
              <w:r>
                <w:rPr>
                  <w:rStyle w:val="InternetLink"/>
                  <w:rFonts w:ascii="Arial;sans-serif" w:hAnsi="Arial;sans-serif"/>
                  <w:b w:val="false"/>
                  <w:color w:val="3051F2"/>
                  <w:sz w:val="16"/>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Operational &amp; Leasing Information</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Leased Percentage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46">
              <w:r>
                <w:rPr>
                  <w:rStyle w:val="InternetLink"/>
                  <w:rFonts w:ascii="Arial;sans-serif" w:hAnsi="Arial;sans-serif"/>
                  <w:b w:val="false"/>
                  <w:color w:val="3051F2"/>
                  <w:sz w:val="16"/>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Rental Rate Roll Up / Roll Down</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49">
              <w:r>
                <w:rPr>
                  <w:rStyle w:val="InternetLink"/>
                  <w:rFonts w:ascii="Arial;sans-serif" w:hAnsi="Arial;sans-serif"/>
                  <w:b w:val="false"/>
                  <w:color w:val="3051F2"/>
                  <w:sz w:val="16"/>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Contractual Tenant Improvements &amp; Leasing Commissions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52">
              <w:r>
                <w:rPr>
                  <w:rStyle w:val="InternetLink"/>
                  <w:rFonts w:ascii="Arial;sans-serif" w:hAnsi="Arial;sans-serif"/>
                  <w:b w:val="false"/>
                  <w:color w:val="3051F2"/>
                  <w:sz w:val="16"/>
                  <w:u w:val="singl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Effective Rents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55">
              <w:r>
                <w:rPr>
                  <w:rStyle w:val="InternetLink"/>
                  <w:rFonts w:ascii="Arial;sans-serif" w:hAnsi="Arial;sans-serif"/>
                  <w:b w:val="false"/>
                  <w:color w:val="3051F2"/>
                  <w:sz w:val="16"/>
                  <w:u w:val="singl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Leases Yet to Commence and Abatements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58">
              <w:r>
                <w:rPr>
                  <w:rStyle w:val="InternetLink"/>
                  <w:rFonts w:ascii="Arial;sans-serif" w:hAnsi="Arial;sans-serif"/>
                  <w:b w:val="false"/>
                  <w:color w:val="3051F2"/>
                  <w:sz w:val="16"/>
                  <w:u w:val="single"/>
                </w:rPr>
                <w:t>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Expiration Schedule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61">
              <w:r>
                <w:rPr>
                  <w:rStyle w:val="InternetLink"/>
                  <w:rFonts w:ascii="Arial;sans-serif" w:hAnsi="Arial;sans-serif"/>
                  <w:b w:val="false"/>
                  <w:color w:val="3051F2"/>
                  <w:sz w:val="16"/>
                  <w:u w:val="single"/>
                </w:rPr>
                <w:t>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Quarterly Lease Expirations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64">
              <w:r>
                <w:rPr>
                  <w:rStyle w:val="InternetLink"/>
                  <w:rFonts w:ascii="Arial;sans-serif" w:hAnsi="Arial;sans-serif"/>
                  <w:b w:val="false"/>
                  <w:color w:val="3051F2"/>
                  <w:sz w:val="16"/>
                  <w:u w:val="single"/>
                </w:rPr>
                <w:t>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Annual Lease Expirations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7db7910f56455c9ef3ff41c5ece7ee_67">
              <w:r>
                <w:rPr>
                  <w:rStyle w:val="InternetLink"/>
                  <w:rFonts w:ascii="Arial;sans-serif" w:hAnsi="Arial;sans-serif"/>
                  <w:b w:val="false"/>
                  <w:color w:val="3051F2"/>
                  <w:sz w:val="16"/>
                  <w:u w:val="single"/>
                </w:rPr>
                <w:t>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08"/>
        <w:gridCol w:w="2816"/>
        <w:gridCol w:w="3981"/>
      </w:tblGrid>
      <w:tr>
        <w:trPr/>
        <w:tc>
          <w:tcPr>
            <w:tcW w:w="3408"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Notice to Readers: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Please refer to page </w:t>
            </w:r>
            <w:hyperlink w:anchor="i727db7910f56455c9ef3ff41c5ece7ee_10">
              <w:r>
                <w:rPr>
                  <w:rStyle w:val="InternetLink"/>
                  <w:rFonts w:ascii="Arial;sans-serif" w:hAnsi="Arial;sans-serif"/>
                  <w:b w:val="false"/>
                  <w:strike w:val="false"/>
                  <w:dstrike w:val="false"/>
                  <w:color w:val="0E32E1"/>
                  <w:sz w:val="14"/>
                  <w:u w:val="none"/>
                  <w:effect w:val="none"/>
                </w:rPr>
                <w:t>3</w:t>
              </w:r>
            </w:hyperlink>
            <w:r>
              <w:rPr>
                <w:color w:val="EE2724"/>
              </w:rPr>
              <w:t xml:space="preserve"> </w:t>
            </w:r>
            <w:r>
              <w:rPr>
                <w:rFonts w:ascii="Arial;sans-serif" w:hAnsi="Arial;sans-serif"/>
                <w:b w:val="false"/>
                <w:color w:val="000000"/>
                <w:sz w:val="14"/>
              </w:rPr>
              <w:t>for a discussion of important risks related to the business of Piedmont Realty Trust</w:t>
            </w:r>
            <w:r>
              <w:rPr>
                <w:rFonts w:ascii="Arial;sans-serif" w:hAnsi="Arial;sans-serif"/>
                <w:b w:val="false"/>
                <w:color w:val="000000"/>
                <w:sz w:val="9"/>
              </w:rPr>
              <w:t>TM</w:t>
            </w:r>
            <w:r>
              <w:rPr>
                <w:rFonts w:ascii="Arial;sans-serif" w:hAnsi="Arial;sans-serif"/>
                <w:b w:val="false"/>
                <w:color w:val="000000"/>
                <w:sz w:val="14"/>
              </w:rPr>
              <w:t>, as well as an investment in its securities, including risks that could cause actual results and events to differ materially from results and events referred to in the forward-looking information. Considering these risks, uncertainties, assumptions, and limitations, the forward-looking statements about leasing, financial operations, leasing prospects, acquisitions, dispositions, etc. contained in this quarterly supplemental information report may differ from actual results.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Certain prior period amounts have been reclassified to conform to the current period financial statement presentation. In addition, many of the schedules herein contain rounding to the nearest thousands or millions and, therefore, the schedules may not total due to this rounding convention.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120"/>
              <w:jc w:val="left"/>
              <w:rPr/>
            </w:pPr>
            <w:r>
              <w:rPr>
                <w:rFonts w:ascii="Arial;sans-serif" w:hAnsi="Arial;sans-serif"/>
                <w:b w:val="false"/>
                <w:color w:val="000000"/>
                <w:sz w:val="14"/>
              </w:rPr>
              <w:t>To supplement the presentation of the Company’s financial results prepared in accordance with U.S. generally accepted accounting principles (GAAP), this report contains certain financial measures that are not prepared in accordance with GAAP, including FFO, Core FFO, AFFO, Same Store NOI, Property NOI, EBITDAre and Core EBITDA. Definitions and reconciliations of these non-GAAP measures to their most comparable GAAP metrics are included beginning on page</w:t>
            </w:r>
            <w:r>
              <w:rPr>
                <w:color w:val="0E32E1"/>
              </w:rPr>
              <w:t xml:space="preserve"> </w:t>
            </w:r>
            <w:hyperlink w:anchor="i727db7910f56455c9ef3ff41c5ece7ee_91">
              <w:r>
                <w:rPr>
                  <w:rStyle w:val="InternetLink"/>
                  <w:rFonts w:ascii="Arial;sans-serif" w:hAnsi="Arial;sans-serif"/>
                  <w:b w:val="false"/>
                  <w:strike w:val="false"/>
                  <w:dstrike w:val="false"/>
                  <w:color w:val="0E32E1"/>
                  <w:sz w:val="14"/>
                  <w:u w:val="none"/>
                  <w:effect w:val="none"/>
                </w:rPr>
                <w:t>38</w:t>
              </w:r>
            </w:hyperlink>
            <w:r>
              <w:rPr>
                <w:rFonts w:ascii="Arial;sans-serif" w:hAnsi="Arial;sans-serif"/>
                <w:b w:val="false"/>
                <w:color w:val="000000"/>
                <w:sz w:val="14"/>
              </w:rPr>
              <w:t>. Each of the non-GAAP measures included in this report has limitations as an analytical tool and should not be considered in isolation or as a substitute for an analysis of the Company’s results calculated in accordance with GAAP. In addition, because not all companies use identical calculations, the Company’s presentation of non-GAAP measures in this report may not be comparable to similarly titled measures disclosed by other companies, including other REITs. The Company may also change the calculation of any of the non-GAAP measures included in this report from time to time in light of its then existing operations.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Certain statements contained in this press release constitute forward-looking statements within the meaning of Section 27A of the Securities Act of 1933, as amended (the "Securities Act"), and Section 21E of the Securities Exchange Act of 1934, as amended (the "Exchange Act"). The Company intends for all such forward-looking statements to be covered by the safe-harbor provisions for forward-looking statements contained in Section 27A of the Securities Act and Section 21E of the Exchange Act, as applicable. Such information is subject to certain known and unknown risks and uncertainties, which could cause actual results to differ materially from those anticipated. Therefore, such statements are not intended to be a guarantee of the Company`s performance in future periods. Such forward-looking statements can generally be identified by the Company's use of forward-looking terminology such as "may," "will," "expect," "intend," "anticipate," "estimate," "believe," "continue" or similar words or phrases that indicate predictions of future events or trends or that do not relate solely to historical matters. Examples of such statements in this press release include the Company's estimated range of Net Income/(Loss), Depreciation, Amortization, NAREIT FFO, Core FFO and Core FFO per diluted share for the year ending December 31, 2025. These statements are based on beliefs and assumptions of Piedmont’s management, which in turn are based on information available at the time the statements are made.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following are some of the factors that could cause the Company's actual results and its expectations to differ materially from those described in the Company's forward-looking statements: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Economic, regulatory, socio-economic, technological (e.g. artificial intelligence and machine learning, virtual meeting platforms, etc.), and other changes that impact the real estate market generally, the office sector or the patterns of use of commercial office space in general, or the markets where we primarily operate or have high concentrations of revenue;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impact of competition on our efforts to renew existing leases or re-let space on terms similar to existing leases;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Lease terminations, lease defaults, lease contractions, or changes in the financial condition of our tenants, particularly by one of our large tenants;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Impairment charges on our long-lived assets or goodwill resulting therefrom;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success of our real estate strategies and investment objectives, including our ability to implement successful redevelopment and development strategies or identify and consummate suitable acquisitions and divestitures;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illiquidity of real estate investments, including economic changes, such as fluctuating interest rates, costs of construction, improvements and redevelopments, and available financing, which could impact the number of buyers/sellers of our target properties, and regulatory restrictions to which real estate investment trusts ("REITs") are subject and the resulting impediment on our ability to quickly respond to adverse changes in the performance of our properties;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risks and uncertainties associated with our acquisition and disposition of properties, many of which risks and uncertainties may not be known at the time of acquisition or disposition;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Development and construction delays, including the potential of supply chain disruptions, and resultant increased costs and risks;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Future acts of terrorism, civil unrest, or armed hostilities in any of the major metropolitan areas in which we own properties;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Risks related to the occurrence of cybersecurity incidents, including cybersecurity incidents against us or any of our properties, vendors, or tenants, or a deficiency in our identification, assessment or management of cybersecurity threats impacting our operations and the public's reaction to reported cybersecurity incidents, including the reputational impact on our business and value of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Costs of complying with governmental laws, regulations and policies, including environmental standards imposed on office building owners;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Uninsured losses or losses in excess of our insurance coverage, and our inability to obtain adequate insurance coverage at a reasonable cost;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Additional risks and costs associated with directly managing properties occupied by government tenants, such as potential changes in the political environment, a reduction in federal or state funding of our governmental tenants, government layoffs or an increased risk of default by government tenants during periods in which state or federal governments are shut down or on furlough;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Significant price and volume fluctuations in the public markets, including on the exchange on which we listed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Risks associated with incurring mortgage and other indebtedness, including changing capital reserve requirements on our lenders and rising interest rates for new debt financings;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 downgrade in our credit ratings, the credit ratings of Piedmont Operating Partnership, L.P. ("Piedmont OP") or the credit ratings of our or Piedmont OP's unsecured debt securities, which could, among other effects, trigger an increase in the stated rate of one or more of our unsecured debt instruments;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effect of future offerings of debt or equity securities on the value of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Additional risks and costs associated with adverse U.S. global and economic conditions, inflation and potential increases in the rate of inflation, including the impact of a possible recession, uncertainty and volatility in financial markets, and any changes in governmental rules, regulations, and fiscal policies;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Uncertainties associated with environmental and regulatory matters;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Changes in the financial condition of our tenants directly or indirectly resulting from geopolitical developments that could negatively affect important supply chains and international trade, the termination or threatened termination of existing international trade agreements, or the implementation of tariffs or retaliatory tariffs on imported or exported goods;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effect of any litigation to which we are, or may become, subject;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Additional risks and costs associated with owning properties occupied by tenants in particular industries, such as oil and gas, hospitality, travel, co-working, etc., including risks of default during start-up and during economic downturns;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Changes in tax laws impacting REITs and real estate in general, as well as our ability to continue to qualify as a REIT under the Internal Revenue Code of 1986, as amended (the “Code”), or other tax law changes which may adversely affect our stockholders;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future effectiveness of our internal controls and procedures;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Other factors, including the risk factor described in Item 1A. of our Quarterly Report on Form 10-Q for the quarterly period ended March 31, 2025, as well as the risk factors discussed under Item 1A. or our Annual Report on Form 10-K for the year ended December 31, 2024.</w:t>
      </w:r>
    </w:p>
    <w:p>
      <w:pPr>
        <w:pStyle w:val="TextBody"/>
        <w:bidi w:val="0"/>
        <w:spacing w:before="1" w:after="283"/>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Readers are cautioned not to place undue reliance on these forward-looking statements, which speak only as of the date of this press release. The Company cannot guarantee the accuracy of any such forward-looking statements contained in this press release, and the Company does not intend to publicly update or revise any forward-looking statements, whether as a result of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r>
        <w:rPr>
          <w:color w:val="000000"/>
        </w:rPr>
        <w:t>    </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Earnings Release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828800" cy="3429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828800" cy="3429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Piedmont Realty Trust Reports First Quarter 2026 Results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Strong leasing momentum continues with over 430,000 square feet executed and cash leasing spreads of over 11%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Generated Same Store NOI Cash Growth of over 11%</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Increases 2026 Outlook</w:t>
      </w:r>
    </w:p>
    <w:p>
      <w:pPr>
        <w:pStyle w:val="TextBody"/>
        <w:bidi w:val="0"/>
        <w:spacing w:before="0" w:after="0"/>
        <w:jc w:val="left"/>
        <w:rPr/>
      </w:pPr>
      <w:r>
        <w:rPr/>
      </w:r>
    </w:p>
    <w:p>
      <w:pPr>
        <w:pStyle w:val="TextBody"/>
        <w:bidi w:val="0"/>
        <w:spacing w:lineRule="auto" w:line="288" w:before="0" w:after="140"/>
        <w:jc w:val="left"/>
        <w:rPr/>
      </w:pPr>
      <w:r>
        <w:rPr>
          <w:rFonts w:ascii="Arial;sans-serif" w:hAnsi="Arial;sans-serif"/>
          <w:b/>
          <w:color w:val="000000"/>
          <w:sz w:val="18"/>
        </w:rPr>
        <w:t xml:space="preserve">ATLANTA, April 30, 2026 </w:t>
      </w:r>
      <w:r>
        <w:rPr>
          <w:color w:val="000000"/>
        </w:rPr>
        <w:t xml:space="preserve">— </w:t>
      </w:r>
      <w:r>
        <w:rPr>
          <w:rFonts w:ascii="Arial;sans-serif" w:hAnsi="Arial;sans-serif"/>
          <w:b w:val="false"/>
          <w:color w:val="000000"/>
          <w:sz w:val="18"/>
        </w:rPr>
        <w:t xml:space="preserve">Piedmont Realty Trust, Inc. ("Piedmont" the "Company") (NYSE:PDM), an owner of Class A office properties located primarily in major U.S. Sunbelt markets, today announced its results for the quarter ended March 31, 2026. </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Commenting on operational results for the three months ended March 31, 2026, Brent Smith, Piedmont's President and Chief Executive Officer, said, "During the first quarter, we witnessed a continuation of the elevated demand that we experienced in the latter half of 2025, with tour and proposal activity at levels above our historical averages. During the quarter we executed over 430,000 square feet of leasing, and most importantly, two-thirds was related to new tenancy. The customer pipeline remains robust with over 700,000 square feet of leases either already executed or in the legal stage thus far in the second quarter. Additionally, last year’s leasing success is positively impacting our operating metrics, pushing this quarter’s same-store cash NOI growth over 11% and helping to drive a one cent increase in 2026 earnings outlook and a 1% increase in our 2026 Same Store NOI outlook. Furthermore, strong customer demand driven by the flight-to quality is giving Piedmont the opportunity to increase rents to record levels across our portfolio." Continuing, Smith added, "We were also particularly excited about several operational recognitions during the first quarter. Galleria Towers in Dallas won the CoStar Impact Award for Redevelopment of the Year in the Dallas Fort-Worth market and Piedmont, as a company, was recognized as an "Elite 5" participant in the annual Kingsley survey for the office sector. These accolades serve as further evidence that our modern, redeveloped, amenity-rich Piedmont PLACES, combined with our hospitality- infused service model, are recognized by our customers and peers as the premier office experience."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Highlights for the Three Months Ended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 xml:space="preserve">Financial Results: </w:t>
      </w:r>
    </w:p>
    <w:p>
      <w:pPr>
        <w:pStyle w:val="TextBody"/>
        <w:bidi w:val="0"/>
        <w:spacing w:before="0" w:after="0"/>
        <w:jc w:val="left"/>
        <w:rPr/>
      </w:pPr>
      <w:r>
        <w:rPr/>
      </w:r>
    </w:p>
    <w:tbl>
      <w:tblPr>
        <w:tblW w:w="9267" w:type="dxa"/>
        <w:jc w:val="left"/>
        <w:tblInd w:w="0" w:type="dxa"/>
        <w:tblLayout w:type="fixed"/>
        <w:tblCellMar>
          <w:top w:w="28" w:type="dxa"/>
          <w:left w:w="28" w:type="dxa"/>
          <w:bottom w:w="28" w:type="dxa"/>
          <w:right w:w="28" w:type="dxa"/>
        </w:tblCellMar>
      </w:tblPr>
      <w:tblGrid>
        <w:gridCol w:w="2199"/>
        <w:gridCol w:w="1934"/>
        <w:gridCol w:w="1942"/>
        <w:gridCol w:w="470"/>
        <w:gridCol w:w="470"/>
        <w:gridCol w:w="470"/>
        <w:gridCol w:w="465"/>
        <w:gridCol w:w="465"/>
        <w:gridCol w:w="480"/>
        <w:gridCol w:w="109"/>
        <w:gridCol w:w="109"/>
        <w:gridCol w:w="154"/>
      </w:tblGrid>
      <w:tr>
        <w:trPr/>
        <w:tc>
          <w:tcPr>
            <w:tcW w:w="219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000s other than per share amounts)</w:t>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March 31, 2026</w:t>
            </w:r>
          </w:p>
        </w:tc>
        <w:tc>
          <w:tcPr>
            <w:tcW w:w="1410" w:type="dxa"/>
            <w:gridSpan w:val="3"/>
            <w:tcBorders>
              <w:top w:val="single" w:sz="8" w:space="0" w:color="000000"/>
              <w:right w:val="single" w:sz="8" w:space="0" w:color="000000"/>
            </w:tcBorders>
            <w:tcMar>
              <w:top w:w="30" w:type="dxa"/>
              <w:left w:w="0" w:type="dxa"/>
              <w:bottom w:w="0" w:type="dxa"/>
              <w:right w:w="14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applicable to Piedmont</w:t>
            </w:r>
          </w:p>
        </w:tc>
        <w:tc>
          <w:tcPr>
            <w:tcW w:w="1410"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$(12,920)</w:t>
            </w:r>
          </w:p>
        </w:tc>
        <w:tc>
          <w:tcPr>
            <w:tcW w:w="1410" w:type="dxa"/>
            <w:gridSpan w:val="3"/>
            <w:tcBorders>
              <w:top w:val="single" w:sz="8" w:space="0" w:color="000000"/>
              <w:right w:val="single" w:sz="8" w:space="0" w:color="000000"/>
            </w:tcBorders>
            <w:shd w:fill="F8F4F1" w:val="clear"/>
            <w:tcMar>
              <w:top w:w="3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applicable to common stockholders - basic and diluted</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410"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real estate assets</w:t>
            </w:r>
          </w:p>
        </w:tc>
        <w:tc>
          <w:tcPr>
            <w:tcW w:w="14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10"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10"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interest income</w:t>
            </w:r>
          </w:p>
        </w:tc>
        <w:tc>
          <w:tcPr>
            <w:tcW w:w="14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$31,897</w:t>
            </w:r>
          </w:p>
        </w:tc>
        <w:tc>
          <w:tcPr>
            <w:tcW w:w="1410"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NAREIT Funds From Operations ("FFO") applicable to common stock</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$46,018</w:t>
            </w:r>
          </w:p>
        </w:tc>
        <w:tc>
          <w:tcPr>
            <w:tcW w:w="1410"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FFO applicable to common stock</w:t>
            </w:r>
          </w:p>
        </w:tc>
        <w:tc>
          <w:tcPr>
            <w:tcW w:w="14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$46,018</w:t>
            </w:r>
          </w:p>
        </w:tc>
        <w:tc>
          <w:tcPr>
            <w:tcW w:w="1410"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NAREIT FFO per diluted share</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w:t>
            </w:r>
          </w:p>
        </w:tc>
        <w:tc>
          <w:tcPr>
            <w:tcW w:w="1410"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FFO per diluted share</w:t>
            </w:r>
          </w:p>
        </w:tc>
        <w:tc>
          <w:tcPr>
            <w:tcW w:w="14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w:t>
            </w:r>
          </w:p>
        </w:tc>
        <w:tc>
          <w:tcPr>
            <w:tcW w:w="1410"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FFO applicable to common stock</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$23,842</w:t>
            </w:r>
          </w:p>
        </w:tc>
        <w:tc>
          <w:tcPr>
            <w:tcW w:w="1410"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Same Store NOI - cash basis</w:t>
            </w:r>
          </w:p>
        </w:tc>
        <w:tc>
          <w:tcPr>
            <w:tcW w:w="14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410" w:type="dxa"/>
            <w:gridSpan w:val="3"/>
            <w:tcBorders>
              <w:right w:val="single" w:sz="8" w:space="0" w:color="000000"/>
            </w:tcBorders>
            <w:shd w:fill="F8F4F1"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Same Store NOI - accrual basis</w:t>
            </w:r>
          </w:p>
        </w:tc>
        <w:tc>
          <w:tcPr>
            <w:tcW w:w="14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410"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0"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 xml:space="preserve">Piedmont recognized a net loss of $12.9 million, or $0.10 per diluted share, for the first quarter of 2026, as compared to a net loss of $10.1 million, or $0.08 per diluted share, for the first quarter of 2025. Both periods reflect elevated interest expense, net of interest income, as a result of refinancing activity completed over the past several years in a higher interest rate environment. The increase in net loss recognized during the current year was primarily driven by increased depreciation expense as recently completed capital improvement projects and tenant improvements associated with new leasing activity were placed in service.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Core FFO, which removes gain/loss on sale of real estate assets and loss on early extinguishment of debt, as well as depreciation and amortization, was $0.36 per diluted share for both the first quarter of 2026 and the first quarter of 2025. Growth in property operations during the twelve months ended March 31, 2026 was offset by the sale of 80/90 Central in Boxborough, MA and 161 Corporate Center in Irving, TX during the same period.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During the three months ended March 31, 2026, Same Store NOI on a cash and accrual basis increased by 11.1% and 1.9% , respectively, as the commencement or burn off of abatements on new leases outweighed expiring leases.</w:t>
      </w: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18"/>
          <w:u w:val="single"/>
        </w:rPr>
      </w:pPr>
      <w:r>
        <w:rPr>
          <w:rFonts w:ascii="Arial;sans-serif" w:hAnsi="Arial;sans-serif"/>
          <w:b/>
          <w:color w:val="000000"/>
          <w:sz w:val="18"/>
          <w:u w:val="single"/>
        </w:rPr>
        <w:t>Leasing:</w:t>
      </w:r>
    </w:p>
    <w:tbl>
      <w:tblPr>
        <w:tblW w:w="5306" w:type="dxa"/>
        <w:jc w:val="left"/>
        <w:tblInd w:w="0" w:type="dxa"/>
        <w:tblLayout w:type="fixed"/>
        <w:tblCellMar>
          <w:top w:w="28" w:type="dxa"/>
          <w:left w:w="28" w:type="dxa"/>
          <w:bottom w:w="28" w:type="dxa"/>
          <w:right w:w="28" w:type="dxa"/>
        </w:tblCellMar>
      </w:tblPr>
      <w:tblGrid>
        <w:gridCol w:w="1112"/>
        <w:gridCol w:w="979"/>
        <w:gridCol w:w="983"/>
        <w:gridCol w:w="619"/>
        <w:gridCol w:w="619"/>
        <w:gridCol w:w="622"/>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lease transactions</w:t>
            </w:r>
          </w:p>
        </w:tc>
        <w:tc>
          <w:tcPr>
            <w:tcW w:w="1860" w:type="dxa"/>
            <w:gridSpan w:val="3"/>
            <w:tcBorders>
              <w:top w:val="single" w:sz="8" w:space="0" w:color="000000"/>
              <w:right w:val="single" w:sz="8" w:space="0" w:color="000000"/>
            </w:tcBorders>
            <w:shd w:fill="F8F4F1" w:val="clear"/>
            <w:tcMar>
              <w:top w:w="3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leasing sf </w:t>
            </w:r>
            <w:r>
              <w:rPr>
                <w:rFonts w:ascii="Arial;sans-serif" w:hAnsi="Arial;sans-serif"/>
                <w:b w:val="false"/>
                <w:i/>
                <w:color w:val="000000"/>
                <w:sz w:val="18"/>
              </w:rPr>
              <w:t>(in 000s)</w:t>
            </w:r>
          </w:p>
        </w:tc>
        <w:tc>
          <w:tcPr>
            <w:tcW w:w="1860"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New tenant leasing sf </w:t>
            </w:r>
            <w:r>
              <w:rPr>
                <w:rFonts w:ascii="Arial;sans-serif" w:hAnsi="Arial;sans-serif"/>
                <w:b w:val="false"/>
                <w:i/>
                <w:color w:val="000000"/>
                <w:sz w:val="18"/>
              </w:rPr>
              <w:t>(in 000s)</w:t>
            </w:r>
          </w:p>
        </w:tc>
        <w:tc>
          <w:tcPr>
            <w:tcW w:w="1860"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rent roll up</w:t>
            </w:r>
          </w:p>
        </w:tc>
        <w:tc>
          <w:tcPr>
            <w:tcW w:w="1860"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Accrual rent roll up</w:t>
            </w:r>
          </w:p>
        </w:tc>
        <w:tc>
          <w:tcPr>
            <w:tcW w:w="1860"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 percentage as of period end</w:t>
            </w:r>
          </w:p>
        </w:tc>
        <w:tc>
          <w:tcPr>
            <w:tcW w:w="1860" w:type="dxa"/>
            <w:gridSpan w:val="3"/>
            <w:tcBorders>
              <w:bottom w:val="single" w:sz="8" w:space="0" w:color="000000"/>
              <w:right w:val="single" w:sz="8" w:space="0" w:color="000000"/>
            </w:tcBorders>
            <w:shd w:fill="FFFFFF" w:val="clear"/>
            <w:tcMar>
              <w:top w:w="0" w:type="dxa"/>
              <w:left w:w="0" w:type="dxa"/>
              <w:bottom w:w="3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 xml:space="preserve">The Company completed approximately 431,000 square feet of leasing during the first quarter, including approximately 293,000 square feet of new tenant leasing, approximately 60% of which related to previously vacant space.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average size lease executed during the first quarter was approximately 8,600 square feet and the weighted average lease term was approximately seven years.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Rental rates on leases executed during the three months ended March 31, 2026 for space vacant one year or less increased approximately 11.1% and 17.8% on a cash and accrual basis, respectively.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Company's leased percentage for its in-service portfolio as of March 31, 2026 was 89.3%, as compared to 89.6% as of December 31, 2025.</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Company's leased percentage for its out-of-service portfolio, comprised of two projects in Minneapolis and one in Orlando that have recently undergone extensive redevelopment, was 75.5% leased as of March 31, 2026, as compared to 62.4% leased as of December 31, 2025.</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As of March 31, 2026, the Company had approximately 1.0 million square feet of executed leases for vacant space that are yet to commence representing approximately $42 million of future additional annual cash rents, and approximately 0.9 million square feet of executed leases currently under rental abatement, representing approximately $26 million of future additional annual cash rents.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Leases representing over 700,000 square feet have either already been executed or are in the legal stage thus far in the second quarter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Transactional Activity:</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Arial;sans-serif" w:hAnsi="Arial;sans-serif"/>
          <w:b w:val="false"/>
          <w:color w:val="000000"/>
          <w:sz w:val="18"/>
        </w:rPr>
        <w:t xml:space="preserve">During the three months ended March 31, 2026, the Company entered into a binding contract to sell a 10.6 acre undeveloped land parcel known as Royal Lane located in the Las Colinas submarket of Dallas, TX for $12.0 million. The transaction is subject to several extension options; however, is expected to close later in 2026.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1"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Balance Sheet: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23"/>
        <w:gridCol w:w="2120"/>
        <w:gridCol w:w="2137"/>
        <w:gridCol w:w="469"/>
        <w:gridCol w:w="466"/>
        <w:gridCol w:w="464"/>
        <w:gridCol w:w="109"/>
        <w:gridCol w:w="109"/>
        <w:gridCol w:w="109"/>
        <w:gridCol w:w="525"/>
        <w:gridCol w:w="524"/>
        <w:gridCol w:w="750"/>
      </w:tblGrid>
      <w:tr>
        <w:trPr/>
        <w:tc>
          <w:tcPr>
            <w:tcW w:w="2423"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66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000s except for ratios)</w:t>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right w:val="single" w:sz="8" w:space="0" w:color="000000"/>
            </w:tcBorders>
            <w:shd w:fill="FFFFFF" w:val="clear"/>
            <w:tcMar>
              <w:top w:w="30" w:type="dxa"/>
              <w:left w:w="0" w:type="dxa"/>
              <w:bottom w:w="0" w:type="dxa"/>
              <w:right w:w="14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6680"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39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right w:val="single" w:sz="8" w:space="0" w:color="000000"/>
            </w:tcBorders>
            <w:shd w:fill="F8F4F1" w:val="clear"/>
            <w:tcMar>
              <w:top w:w="3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w:t>
            </w:r>
          </w:p>
        </w:tc>
      </w:tr>
      <w:tr>
        <w:trPr/>
        <w:tc>
          <w:tcPr>
            <w:tcW w:w="66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 Estate Assets</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$3,421,687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$3,421,709</w:t>
            </w:r>
          </w:p>
        </w:tc>
      </w:tr>
      <w:tr>
        <w:trPr/>
        <w:tc>
          <w:tcPr>
            <w:tcW w:w="6680"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13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$4,033,931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$4,031,354</w:t>
            </w:r>
          </w:p>
        </w:tc>
      </w:tr>
      <w:tr>
        <w:trPr/>
        <w:tc>
          <w:tcPr>
            <w:tcW w:w="668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668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66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$2,224,712</w:t>
            </w:r>
          </w:p>
        </w:tc>
      </w:tr>
      <w:tr>
        <w:trPr/>
        <w:tc>
          <w:tcPr>
            <w:tcW w:w="6680"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Cost of Debt</w:t>
            </w:r>
          </w:p>
        </w:tc>
        <w:tc>
          <w:tcPr>
            <w:tcW w:w="13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w:t>
            </w:r>
          </w:p>
        </w:tc>
      </w:tr>
      <w:tr>
        <w:trPr/>
        <w:tc>
          <w:tcPr>
            <w:tcW w:w="668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66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Principal Amount of Debt / Total Gross Assets less Cash and Cash Equivalents</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w:t>
            </w:r>
          </w:p>
        </w:tc>
      </w:tr>
      <w:tr>
        <w:trPr/>
        <w:tc>
          <w:tcPr>
            <w:tcW w:w="6680" w:type="dxa"/>
            <w:gridSpan w:val="3"/>
            <w:tcBorders>
              <w:left w:val="single" w:sz="8" w:space="0" w:color="000000"/>
              <w:bottom w:val="single" w:sz="8" w:space="0" w:color="000000"/>
            </w:tcBorders>
            <w:shd w:fill="F8F4F1"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Net Debt to Core EBITDA (ttm)</w:t>
            </w:r>
          </w:p>
        </w:tc>
        <w:tc>
          <w:tcPr>
            <w:tcW w:w="1399"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x</w:t>
            </w:r>
          </w:p>
        </w:tc>
        <w:tc>
          <w:tcPr>
            <w:tcW w:w="327" w:type="dxa"/>
            <w:gridSpan w:val="3"/>
            <w:tcBorders>
              <w:bottom w:val="sing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bottom w:val="single" w:sz="8" w:space="0" w:color="000000"/>
              <w:right w:val="single" w:sz="8" w:space="0" w:color="000000"/>
            </w:tcBorders>
            <w:shd w:fill="F8F4F1" w:val="clear"/>
            <w:tcMar>
              <w:top w:w="0" w:type="dxa"/>
              <w:left w:w="0" w:type="dxa"/>
              <w:bottom w:w="3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x</w:t>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As of March 31, 2026, the Company had approximately $526 million of capacity on its revolving line of credit and no debt maturity requirements until 2028.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Corporate Responsibility and Operations:</w:t>
      </w:r>
    </w:p>
    <w:p>
      <w:pPr>
        <w:pStyle w:val="TextBody"/>
        <w:bidi w:val="0"/>
        <w:spacing w:before="0" w:after="0"/>
        <w:jc w:val="both"/>
        <w:rPr/>
      </w:pPr>
      <w:r>
        <w:rPr/>
      </w:r>
    </w:p>
    <w:p>
      <w:pPr>
        <w:pStyle w:val="TextBody"/>
        <w:bidi w:val="0"/>
        <w:spacing w:lineRule="auto" w:line="268" w:before="0" w:after="0"/>
        <w:ind w:left="0" w:right="0" w:hanging="360"/>
        <w:jc w:val="left"/>
        <w:rPr/>
      </w:pPr>
      <w:r>
        <w:rPr>
          <w:color w:val="0A0A0A"/>
        </w:rPr>
        <w:t>•</w:t>
      </w:r>
      <w:r>
        <w:rPr>
          <w:rFonts w:ascii="Arial;sans-serif" w:hAnsi="Arial;sans-serif"/>
          <w:b w:val="false"/>
          <w:color w:val="000000"/>
          <w:sz w:val="18"/>
        </w:rPr>
        <w:t>During the three months ended March 31, 2026, Piedmont earned the “Elite 5” distinction in the 2026 Kingsley Excellence Awards for the office sector. The "Elit</w:t>
      </w:r>
      <w:r>
        <w:rPr>
          <w:rFonts w:ascii="Arial;sans-serif" w:hAnsi="Arial;sans-serif"/>
          <w:b w:val="false"/>
          <w:color w:val="0A0A0A"/>
          <w:sz w:val="18"/>
        </w:rPr>
        <w:t>e 5" is Kingsley's h</w:t>
      </w:r>
      <w:r>
        <w:rPr>
          <w:rFonts w:ascii="Arial;sans-serif" w:hAnsi="Arial;sans-serif"/>
          <w:b w:val="false"/>
          <w:color w:val="000000"/>
          <w:sz w:val="18"/>
        </w:rPr>
        <w:t>ighest-level performance recognition and is reserved for the top five commercial real estate organizations nationally that achieve the highest levels of tenant satisfaction.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Galleria Towers in Dallas recently won the CoStar Impact Award for Redevelopment of the Year in the Dallas Fort-Worth market for its unparalleled transformation. CoStar's Impact Awards highlight the commercial real estate transactions and projects that have transformed their markets over the past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As of March 31, 2026, approximately 83% and 74% of the Company's portfolio was ENERGY STAR rated and LEED certified, respectively, and 67% of its portfolio was certified LEED gold.</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Outlook for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is increasing and narrowing its outlook for the year ending December 31, 2026, as follows:</w:t>
      </w:r>
    </w:p>
    <w:p>
      <w:pPr>
        <w:pStyle w:val="TextBody"/>
        <w:bidi w:val="0"/>
        <w:spacing w:before="0" w:after="0"/>
        <w:jc w:val="both"/>
        <w:rPr/>
      </w:pPr>
      <w:r>
        <w:rPr/>
      </w:r>
    </w:p>
    <w:tbl>
      <w:tblPr>
        <w:tblW w:w="9915" w:type="dxa"/>
        <w:jc w:val="left"/>
        <w:tblInd w:w="0" w:type="dxa"/>
        <w:tblLayout w:type="fixed"/>
        <w:tblCellMar>
          <w:top w:w="28" w:type="dxa"/>
          <w:left w:w="28" w:type="dxa"/>
          <w:bottom w:w="28" w:type="dxa"/>
          <w:right w:w="28" w:type="dxa"/>
        </w:tblCellMar>
      </w:tblPr>
      <w:tblGrid>
        <w:gridCol w:w="2067"/>
        <w:gridCol w:w="1816"/>
        <w:gridCol w:w="1832"/>
        <w:gridCol w:w="211"/>
        <w:gridCol w:w="481"/>
        <w:gridCol w:w="109"/>
        <w:gridCol w:w="109"/>
        <w:gridCol w:w="109"/>
        <w:gridCol w:w="109"/>
        <w:gridCol w:w="211"/>
        <w:gridCol w:w="481"/>
        <w:gridCol w:w="109"/>
        <w:gridCol w:w="109"/>
        <w:gridCol w:w="109"/>
        <w:gridCol w:w="109"/>
        <w:gridCol w:w="211"/>
        <w:gridCol w:w="466"/>
        <w:gridCol w:w="109"/>
        <w:gridCol w:w="109"/>
        <w:gridCol w:w="109"/>
        <w:gridCol w:w="109"/>
        <w:gridCol w:w="211"/>
        <w:gridCol w:w="466"/>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Previous</w:t>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 except per share data)</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High</w:t>
            </w:r>
          </w:p>
        </w:tc>
      </w:tr>
      <w:tr>
        <w:trPr/>
        <w:tc>
          <w:tcPr>
            <w:tcW w:w="571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Add: </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6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NAREIT and Core FFO applicable to common stock</w:t>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NAREIT and Core FFO applicable to common stock per diluted share</w:t>
            </w:r>
          </w:p>
        </w:tc>
        <w:tc>
          <w:tcPr>
            <w:tcW w:w="8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outlook is based on information available to management as of the date of this release and reflects management's view of current market conditions, including the following specific assumptions and projections: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2"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Operation Assumptions: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Executed leasing for the year of approximately 1.7 to 2.0 million square feet resulting in an increase in the anticipated year-end leased percentage for the Company's in-service portfolio to approximately 89.5% to 90.5%, exclusive of any speculative acquisition or disposition activity;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Stabilization of the Company's out of service assets, resulting in an approximately 85-90% year-end leased percentage for the out of service portfolio and the placement of these assets back into the in-service population around the end of 2026;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Same Store NOI increase of 4% to 7% on both a cash and accrual basis for the year, a 1% increase from our previous estimate;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Financing Assumptions: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Interest expense (net of interest income) of approximately $125-$127 million, reflecting lower interest expense as a result of the refinancing activity completed in late 2025, partially offset by lower capitalized interest as various redevelopment projects conclude;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Assumptions: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General and administrative expense of approximately $31-$33 million;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Weighted average shares outstanding of approximately 126-127 million.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 speculative acquisitions, dispositions, or refinancing are included in the above outlook. The Company will adjust its outlook if such transactions occur.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Note that actual results could differ materially from these estimates and individual quarters may fluctuate on both a cash basis and an accrual basis due to the timing of any future dispositions, significant lease commencements and expirations, abatement periods, repairs and maintenance expenses, capital expenditures, capital markets activities, seasonal general and administrative expenses, accrued potential performance-based compensation expense, one-time revenue or expense events, and other factors discussed under "Forward-Looking Statements"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 xml:space="preserve">Conference Call Information: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Piedmont has scheduled a conference call and an audio webcast for Friday, May 1, 2026, at 9:00 A.M. Eastern time. The live, listen-only, audio webcast of the call may be accessed on the Company's website at </w:t>
      </w:r>
      <w:r>
        <w:rPr>
          <w:rFonts w:ascii="Arial;sans-serif" w:hAnsi="Arial;sans-serif"/>
          <w:b w:val="false"/>
          <w:color w:val="0094FF"/>
          <w:sz w:val="18"/>
        </w:rPr>
        <w:t>https://investor.piedmontreit.com/news-and-events/event-calendar</w:t>
      </w:r>
      <w:r>
        <w:rPr>
          <w:rFonts w:ascii="Arial;sans-serif" w:hAnsi="Arial;sans-serif"/>
          <w:b w:val="false"/>
          <w:color w:val="000000"/>
          <w:sz w:val="18"/>
        </w:rPr>
        <w:t>. Dial-in numbers for analysts who plan to actively participate in the call are (888) 506-0062 for participants in the United States and Canada and (973) 528-0011 for international participants. Participant Access Code is 820042. A replay of the conference call will be available through May 15, 2026, and may be accessed by dialing (877) 481-4010 for participants in the United States and Canada and (919) 882-2331 for international participants, followed by conference identification code 53839. A webcast replay will also be available after the conference call in the Investor Relations section of the Company's website. During the audio webcast and conference call, the Company's management team will review first quarter 2026 performance, discuss recent events, and conduct a question-and-answer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3"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Company Information</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000000"/>
          <w:sz w:val="18"/>
        </w:rPr>
        <w:t>Piedmont Realty Trust</w:t>
      </w:r>
      <w:r>
        <w:rPr>
          <w:rFonts w:ascii="Arial;sans-serif" w:hAnsi="Arial;sans-serif"/>
          <w:b w:val="false"/>
          <w:color w:val="000000"/>
          <w:sz w:val="12"/>
        </w:rPr>
        <w:t xml:space="preserve">TM </w:t>
      </w:r>
      <w:r>
        <w:rPr>
          <w:rFonts w:ascii="Arial;sans-serif" w:hAnsi="Arial;sans-serif"/>
          <w:b w:val="false"/>
          <w:color w:val="000000"/>
          <w:sz w:val="18"/>
        </w:rPr>
        <w:t xml:space="preserve">(NYSE: PDM), also referred to herein as "Piedmont" or the "Company", is a fully integrated, self-managed real estate company focused on delivering an exceptional office environment. As an owner, manager, developer and operator of 16 million square feet of Class A properties across major U.S. Sunbelt markets, Piedmont is known for its hospitality-driven approach and commitment to transforming buildings into premier "Piedmont PLACEs" that enhance each client's workplace experience. The Company is headquartered in Atlanta, Georgia with local management offices in each of its markets. The Company's senior unsecured notes are investment-grade rated by Moody's, Standard &amp; Poor's and Fitch Ratings. </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For more information, please visit www.piedmontreit.com.</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1"/>
        <w:gridCol w:w="681"/>
        <w:gridCol w:w="626"/>
        <w:gridCol w:w="722"/>
        <w:gridCol w:w="606"/>
        <w:gridCol w:w="608"/>
        <w:gridCol w:w="758"/>
        <w:gridCol w:w="642"/>
        <w:gridCol w:w="609"/>
        <w:gridCol w:w="835"/>
        <w:gridCol w:w="662"/>
        <w:gridCol w:w="660"/>
        <w:gridCol w:w="587"/>
        <w:gridCol w:w="551"/>
        <w:gridCol w:w="767"/>
      </w:tblGrid>
      <w:tr>
        <w:trPr/>
        <w:tc>
          <w:tcPr>
            <w:tcW w:w="8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shd w:fill="153C3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Executive Management</w:t>
            </w:r>
          </w:p>
        </w:tc>
      </w:tr>
      <w:tr>
        <w:trPr/>
        <w:tc>
          <w:tcPr>
            <w:tcW w:w="2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Brent Smith</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Sherry Rexroad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Laura Moon</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George Wells</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Alex Valente</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President, Chief Executive Officer </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Accounting Officer</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Co-Chief Operating Officer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Co-Chief Operating Officer</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Director</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Executive Vice President</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Executive Vice President</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Executive Vice President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Executive Vice President</w:t>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Kevin Fossum</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Christopher Kollme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Damian Miller</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Pierre Dait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Wade Grace</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Management</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Region</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 Management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Controller</w:t>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Jennifer Heneisen</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Lisa Tyler</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Planning &amp; Analysis</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Human Resources</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shd w:fill="153C3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Board of Directors</w:t>
            </w:r>
          </w:p>
        </w:tc>
      </w:tr>
      <w:tr>
        <w:trPr/>
        <w:tc>
          <w:tcPr>
            <w:tcW w:w="2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Kelly H. Barrett</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Dale H. Taysom</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Glenn G. Cohen</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Jeffrey J. Donnelly</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Deneen L. Donnley</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Chair of the Board </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 Chair of the Board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 of the Compensation</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 of the Audit Committee</w:t>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Committee</w:t>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Mary Hager</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Barbara B. Lang</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Stephen E. Lewis</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Brent Smith</w:t>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 of the Nominating &amp;</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Chief Executive Officer</w:t>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Governance</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Director</w:t>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Committee</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6"/>
        <w:gridCol w:w="625"/>
        <w:gridCol w:w="625"/>
        <w:gridCol w:w="1277"/>
        <w:gridCol w:w="905"/>
        <w:gridCol w:w="909"/>
        <w:gridCol w:w="1405"/>
        <w:gridCol w:w="826"/>
        <w:gridCol w:w="830"/>
        <w:gridCol w:w="597"/>
        <w:gridCol w:w="441"/>
        <w:gridCol w:w="619"/>
      </w:tblGrid>
      <w:tr>
        <w:trPr/>
        <w:tc>
          <w:tcPr>
            <w:tcW w:w="1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000000"/>
            </w:tcBorders>
            <w:shd w:fill="153C3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Contact Information</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Corporate </w:t>
              <w:br/>
              <w:t>Headquarters</w:t>
            </w:r>
          </w:p>
        </w:tc>
        <w:tc>
          <w:tcPr>
            <w:tcW w:w="3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Research Analysts / </w:t>
              <w:br/>
              <w:t>Institutional Investors</w:t>
            </w:r>
          </w:p>
        </w:tc>
        <w:tc>
          <w:tcPr>
            <w:tcW w:w="3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Shareholder Services / </w:t>
              <w:br/>
              <w:t>Transfer Agent Services</w:t>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Corporate </w:t>
              <w:br/>
              <w:t>Counsel</w:t>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5565 Glenridge Connector, Suite 450</w:t>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770.418.8592</w:t>
            </w:r>
          </w:p>
        </w:tc>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Computershare, Inc.</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King &amp; Spalding</w:t>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Atlanta, Georgia 30342</w:t>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investor.relations@piedmontreit.com</w:t>
            </w:r>
          </w:p>
        </w:tc>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866.354.3485</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1180 Peachtree Street, NE</w:t>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770.418.8800</w:t>
            </w:r>
          </w:p>
        </w:tc>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investor.services@piedmontreit.com</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Atlanta, GA 30309</w:t>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www.piedmontreit.com</w:t>
            </w:r>
          </w:p>
        </w:tc>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404.572.4600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4"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Research Coverage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62" w:type="dxa"/>
        <w:jc w:val="left"/>
        <w:tblInd w:w="0" w:type="dxa"/>
        <w:tblLayout w:type="fixed"/>
        <w:tblCellMar>
          <w:top w:w="28" w:type="dxa"/>
          <w:left w:w="28" w:type="dxa"/>
          <w:bottom w:w="28" w:type="dxa"/>
          <w:right w:w="28" w:type="dxa"/>
        </w:tblCellMar>
      </w:tblPr>
      <w:tblGrid>
        <w:gridCol w:w="929"/>
        <w:gridCol w:w="817"/>
        <w:gridCol w:w="819"/>
        <w:gridCol w:w="674"/>
        <w:gridCol w:w="674"/>
        <w:gridCol w:w="676"/>
        <w:gridCol w:w="794"/>
        <w:gridCol w:w="794"/>
        <w:gridCol w:w="796"/>
        <w:gridCol w:w="727"/>
        <w:gridCol w:w="727"/>
        <w:gridCol w:w="1035"/>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153C3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Equity Research Coverage</w:t>
            </w:r>
          </w:p>
        </w:tc>
        <w:tc>
          <w:tcPr>
            <w:tcW w:w="2024"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Dylan Burzinski</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Anthony Paolone, CFA</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Nicholas Thillman</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Michael Lewis, CFA</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Green Street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JP Morgan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Robert W. Baird &amp; Co.</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Truist Securities</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 Bayview Circle, Suite 400</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390 Madison Avenue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777 East Wisconsin Avenue</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 Hudson Yards, 69th Floor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Newport Beach, CA 92660</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 NY 10017</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Milwaukee, WI 53202</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 NY 10001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Phone: (949) 640-8780</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Phone: (212) 622-6682</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Phone: (414) 298-5053</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Phone: (212) 319-5659</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729" w:type="dxa"/>
        <w:jc w:val="left"/>
        <w:tblInd w:w="0" w:type="dxa"/>
        <w:tblLayout w:type="fixed"/>
        <w:tblCellMar>
          <w:top w:w="28" w:type="dxa"/>
          <w:left w:w="28" w:type="dxa"/>
          <w:bottom w:w="28" w:type="dxa"/>
          <w:right w:w="28" w:type="dxa"/>
        </w:tblCellMar>
      </w:tblPr>
      <w:tblGrid>
        <w:gridCol w:w="1097"/>
        <w:gridCol w:w="965"/>
        <w:gridCol w:w="968"/>
        <w:gridCol w:w="109"/>
        <w:gridCol w:w="109"/>
        <w:gridCol w:w="109"/>
        <w:gridCol w:w="109"/>
        <w:gridCol w:w="109"/>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153C3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Fixed Income Research Coverage</w:t>
            </w:r>
          </w:p>
        </w:tc>
        <w:tc>
          <w:tcPr>
            <w:tcW w:w="327"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Mark S. Streeter, CFA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JP Morgan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383 Madison Avenue, 3rd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 NY 10179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Phone: (212) 834-5086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441" w:type="dxa"/>
        <w:jc w:val="left"/>
        <w:tblInd w:w="0" w:type="dxa"/>
        <w:tblLayout w:type="fixed"/>
        <w:tblCellMar>
          <w:top w:w="28" w:type="dxa"/>
          <w:left w:w="28" w:type="dxa"/>
          <w:bottom w:w="28" w:type="dxa"/>
          <w:right w:w="28" w:type="dxa"/>
        </w:tblCellMar>
      </w:tblPr>
      <w:tblGrid>
        <w:gridCol w:w="761"/>
        <w:gridCol w:w="666"/>
        <w:gridCol w:w="672"/>
        <w:gridCol w:w="989"/>
        <w:gridCol w:w="989"/>
        <w:gridCol w:w="992"/>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153C3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Credit Ratings</w:t>
            </w:r>
          </w:p>
        </w:tc>
        <w:tc>
          <w:tcPr>
            <w:tcW w:w="2970"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Issuer Credit Ratings:</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Senior Unsecured Notes Ratings: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Baa3 (Moody's)</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Baa3 (Moody's)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BB+ (Standard &amp; Poor's)</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BBB- (Standard &amp; Poor's)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BBB- (Fitch)</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BBB- (Fitch)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5"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Portfolio Statistics &amp; Key Performance Indicators </w:t>
      </w:r>
    </w:p>
    <w:p>
      <w:pPr>
        <w:pStyle w:val="TextBody"/>
        <w:bidi w:val="0"/>
        <w:spacing w:lineRule="auto" w:line="288" w:before="0" w:after="0"/>
        <w:jc w:val="left"/>
        <w:rPr/>
      </w:pPr>
      <w:r>
        <w:rPr>
          <w:rFonts w:ascii="Arial;sans-serif" w:hAnsi="Arial;sans-serif"/>
          <w:b/>
          <w:i/>
          <w:color w:val="000000"/>
          <w:sz w:val="18"/>
        </w:rPr>
        <w:t>Unaudited (in thousands except for per share data and ratios)</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2"/>
        <w:gridCol w:w="2871"/>
        <w:gridCol w:w="4072"/>
      </w:tblGrid>
      <w:tr>
        <w:trPr/>
        <w:tc>
          <w:tcPr>
            <w:tcW w:w="326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This section of our supplemental report includes non-GAAP financial measures, including, but not limited to, Earnings Before Interest, Taxes, Depreciation, and Amortization for real estate (EBITDAre), Core Earnings Before Interest, Taxes, Depreciation, and Amortization (Core EBITDA), Funds from Operations (FFO), Core Funds from Operations (Core FFO), Adjusted Funds from Operations (AFFO), and Same Store Net Operating Income (Same Store NOI). Definitions of these non-GAAP measures are provided on page </w:t>
            </w:r>
            <w:hyperlink w:anchor="i727db7910f56455c9ef3ff41c5ece7ee_91">
              <w:r>
                <w:rPr>
                  <w:rStyle w:val="InternetLink"/>
                  <w:rFonts w:ascii="Arial;sans-serif" w:hAnsi="Arial;sans-serif"/>
                  <w:b w:val="false"/>
                  <w:strike w:val="false"/>
                  <w:dstrike w:val="false"/>
                  <w:color w:val="3051F2"/>
                  <w:sz w:val="16"/>
                  <w:u w:val="none"/>
                  <w:effect w:val="none"/>
                </w:rPr>
                <w:t>38</w:t>
              </w:r>
            </w:hyperlink>
            <w:r>
              <w:rPr>
                <w:color w:val="000000"/>
              </w:rPr>
              <w:t xml:space="preserve"> </w:t>
            </w:r>
            <w:r>
              <w:rPr>
                <w:rFonts w:ascii="Arial;sans-serif" w:hAnsi="Arial;sans-serif"/>
                <w:b w:val="false"/>
                <w:color w:val="000000"/>
                <w:sz w:val="16"/>
              </w:rPr>
              <w:t xml:space="preserve">and reconciliations are provided beginning on page </w:t>
            </w:r>
            <w:hyperlink w:anchor="i727db7910f56455c9ef3ff41c5ece7ee_94">
              <w:r>
                <w:rPr>
                  <w:rStyle w:val="InternetLink"/>
                  <w:rFonts w:ascii="Arial;sans-serif" w:hAnsi="Arial;sans-serif"/>
                  <w:b w:val="false"/>
                  <w:strike w:val="false"/>
                  <w:dstrike w:val="false"/>
                  <w:color w:val="3051F2"/>
                  <w:sz w:val="16"/>
                  <w:u w:val="none"/>
                  <w:effect w:val="none"/>
                </w:rPr>
                <w:t>39</w:t>
              </w:r>
            </w:hyperlink>
            <w:r>
              <w:rPr>
                <w:rFonts w:ascii="Arial;sans-serif" w:hAnsi="Arial;sans-serif"/>
                <w:b w:val="false"/>
                <w:color w:val="000000"/>
                <w:sz w:val="16"/>
              </w:rPr>
              <w:t xml:space="preserve">. </w:t>
            </w:r>
          </w:p>
        </w:tc>
      </w:tr>
    </w:tbl>
    <w:tbl>
      <w:tblPr>
        <w:tblW w:w="10205" w:type="dxa"/>
        <w:jc w:val="left"/>
        <w:tblInd w:w="0" w:type="dxa"/>
        <w:tblLayout w:type="fixed"/>
        <w:tblCellMar>
          <w:top w:w="28" w:type="dxa"/>
          <w:left w:w="28" w:type="dxa"/>
          <w:bottom w:w="28" w:type="dxa"/>
          <w:right w:w="28" w:type="dxa"/>
        </w:tblCellMar>
      </w:tblPr>
      <w:tblGrid>
        <w:gridCol w:w="1500"/>
        <w:gridCol w:w="1205"/>
        <w:gridCol w:w="1213"/>
        <w:gridCol w:w="299"/>
        <w:gridCol w:w="247"/>
        <w:gridCol w:w="419"/>
        <w:gridCol w:w="109"/>
        <w:gridCol w:w="109"/>
        <w:gridCol w:w="109"/>
        <w:gridCol w:w="283"/>
        <w:gridCol w:w="210"/>
        <w:gridCol w:w="469"/>
        <w:gridCol w:w="109"/>
        <w:gridCol w:w="109"/>
        <w:gridCol w:w="109"/>
        <w:gridCol w:w="299"/>
        <w:gridCol w:w="247"/>
        <w:gridCol w:w="419"/>
        <w:gridCol w:w="109"/>
        <w:gridCol w:w="109"/>
        <w:gridCol w:w="109"/>
        <w:gridCol w:w="299"/>
        <w:gridCol w:w="247"/>
        <w:gridCol w:w="419"/>
        <w:gridCol w:w="109"/>
        <w:gridCol w:w="109"/>
        <w:gridCol w:w="109"/>
        <w:gridCol w:w="299"/>
        <w:gridCol w:w="247"/>
        <w:gridCol w:w="419"/>
        <w:gridCol w:w="157"/>
      </w:tblGrid>
      <w:tr>
        <w:trPr/>
        <w:tc>
          <w:tcPr>
            <w:tcW w:w="150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57" w:type="dxa"/>
            <w:tcBorders/>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Portfolio Statistics:</w:t>
            </w:r>
          </w:p>
        </w:tc>
        <w:tc>
          <w:tcPr>
            <w:tcW w:w="965"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Number of in-service projects </w:t>
            </w:r>
            <w:r>
              <w:rPr>
                <w:rFonts w:ascii="Arial;sans-serif" w:hAnsi="Arial;sans-serif"/>
                <w:b w:val="false"/>
                <w:color w:val="000000"/>
                <w:sz w:val="10"/>
              </w:rPr>
              <w:t xml:space="preserve">(1) </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Rentable in-service square footage </w:t>
            </w:r>
            <w:r>
              <w:rPr>
                <w:rFonts w:ascii="Arial;sans-serif" w:hAnsi="Arial;sans-serif"/>
                <w:b w:val="false"/>
                <w:color w:val="000000"/>
                <w:sz w:val="10"/>
              </w:rPr>
              <w:t xml:space="preserve">(1) </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15,241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Leased percentage </w:t>
            </w:r>
            <w:r>
              <w:rPr>
                <w:rFonts w:ascii="Arial;sans-serif" w:hAnsi="Arial;sans-serif"/>
                <w:b w:val="false"/>
                <w:color w:val="000000"/>
                <w:sz w:val="10"/>
              </w:rPr>
              <w:t>(2)</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Commenced leased percentage</w:t>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46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Economic leased percentage</w:t>
            </w:r>
            <w:r>
              <w:rPr>
                <w:color w:val="000000"/>
              </w:rPr>
              <w:t xml:space="preserve"> </w:t>
            </w:r>
            <w:r>
              <w:rPr>
                <w:rFonts w:ascii="Arial;sans-serif" w:hAnsi="Arial;sans-serif"/>
                <w:b w:val="false"/>
                <w:color w:val="000000"/>
                <w:sz w:val="10"/>
              </w:rPr>
              <w:t>(3)</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Leasing Activity:</w:t>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square feet leased during the period</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Square feet (new) leased during the period</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Square feet (renewal) leased during the period</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Rental rate roll up / roll down - accrual rents</w:t>
            </w:r>
            <w:r>
              <w:rPr>
                <w:color w:val="000000"/>
              </w:rPr>
              <w:t xml:space="preserve">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Rental rate roll up / roll down - cash rents </w:t>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46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effective rent per square foot after capex and opex</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$143,294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$142,853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$139,163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$140,292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$142,686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applicable to Piedmont</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applicable to common stockholders - diluted</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EBITDA</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$78,304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$77,605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FFO applicable to common stock</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$46,018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$44,205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$43,485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$44,512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$45,533</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FFO per share - diluted</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AFFO applicable to common stock</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$23,842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$18,709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$26,504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Same store net operating income - accrual basis </w:t>
            </w:r>
            <w:r>
              <w:rPr>
                <w:rFonts w:ascii="Arial;sans-serif" w:hAnsi="Arial;sans-serif"/>
                <w:b w:val="false"/>
                <w:color w:val="000000"/>
                <w:sz w:val="10"/>
              </w:rPr>
              <w:t>(4)</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Same store net operating income - cash basis </w:t>
            </w:r>
            <w:r>
              <w:rPr>
                <w:rFonts w:ascii="Arial;sans-serif" w:hAnsi="Arial;sans-serif"/>
                <w:b w:val="false"/>
                <w:color w:val="000000"/>
                <w:sz w:val="10"/>
              </w:rPr>
              <w:t>(4)</w:t>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46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1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Sheet and Capitalization Information:</w:t>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outstanding - diluted (WASO)</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125,177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issued and outstanding at period end</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125,019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124,519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124,504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124,492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124,408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Closing price of common stock at period end</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Gross regular dividends </w:t>
            </w:r>
            <w:r>
              <w:rPr>
                <w:rFonts w:ascii="Arial;sans-serif" w:hAnsi="Arial;sans-serif"/>
                <w:b w:val="false"/>
                <w:color w:val="000000"/>
                <w:sz w:val="10"/>
              </w:rPr>
              <w:t>(5)</w:t>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$15,536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Regular dividends per share</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 GAAP</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$2,252,351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$2,224,712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$2,193,324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$2,177,752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$2,186,231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principal amount of debt outstanding</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$2,248,080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$2,209,536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net principal amount of debt outstanding</w:t>
            </w:r>
            <w:r>
              <w:rPr>
                <w:color w:val="000000"/>
              </w:rPr>
              <w:t xml:space="preserve"> </w:t>
            </w:r>
            <w:r>
              <w:rPr>
                <w:rFonts w:ascii="Arial;sans-serif" w:hAnsi="Arial;sans-serif"/>
                <w:b w:val="false"/>
                <w:color w:val="000000"/>
                <w:sz w:val="10"/>
              </w:rPr>
              <w:t>(6)</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$2,267,822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$2,244,289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$2,205,061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$2,191,286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$2,202,902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real estate assets</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$4,820,893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$4,774,133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$4,740,790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$4,685,403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$4,709,785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market capitalization </w:t>
            </w:r>
            <w:r>
              <w:rPr>
                <w:rFonts w:ascii="Arial;sans-serif" w:hAnsi="Arial;sans-serif"/>
                <w:b w:val="false"/>
                <w:color w:val="000000"/>
                <w:sz w:val="10"/>
              </w:rPr>
              <w:t>(7)</w:t>
            </w:r>
            <w:r>
              <w:rPr>
                <w:color w:val="000000"/>
              </w:rPr>
              <w:t xml:space="preserve"> </w:t>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$821,375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$1,038,491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$1,120,536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$907,547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$916,887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market capitalization </w:t>
            </w:r>
            <w:r>
              <w:rPr>
                <w:rFonts w:ascii="Arial;sans-serif" w:hAnsi="Arial;sans-serif"/>
                <w:b w:val="false"/>
                <w:color w:val="000000"/>
                <w:sz w:val="10"/>
              </w:rPr>
              <w:t>(7)</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$3,286,571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$3,333,732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$3,106,648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$3,126,423</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6"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1"/>
        <w:gridCol w:w="1423"/>
        <w:gridCol w:w="1430"/>
        <w:gridCol w:w="233"/>
        <w:gridCol w:w="233"/>
        <w:gridCol w:w="380"/>
        <w:gridCol w:w="109"/>
        <w:gridCol w:w="109"/>
        <w:gridCol w:w="109"/>
        <w:gridCol w:w="233"/>
        <w:gridCol w:w="233"/>
        <w:gridCol w:w="412"/>
        <w:gridCol w:w="109"/>
        <w:gridCol w:w="109"/>
        <w:gridCol w:w="109"/>
        <w:gridCol w:w="233"/>
        <w:gridCol w:w="233"/>
        <w:gridCol w:w="381"/>
        <w:gridCol w:w="109"/>
        <w:gridCol w:w="109"/>
        <w:gridCol w:w="109"/>
        <w:gridCol w:w="233"/>
        <w:gridCol w:w="233"/>
        <w:gridCol w:w="381"/>
        <w:gridCol w:w="109"/>
        <w:gridCol w:w="109"/>
        <w:gridCol w:w="109"/>
        <w:gridCol w:w="233"/>
        <w:gridCol w:w="233"/>
        <w:gridCol w:w="381"/>
        <w:gridCol w:w="158"/>
      </w:tblGrid>
      <w:tr>
        <w:trPr/>
        <w:tc>
          <w:tcPr>
            <w:tcW w:w="162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Piedmont Office Realty Trust, Inc.</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2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Portfolio Statistics &amp; Key Performance Indicators (continued)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Unaudited (in thousands except for per share data and ratios)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58" w:type="dxa"/>
            <w:tcBorders/>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Ratios for Debt Holders</w:t>
            </w:r>
          </w:p>
        </w:tc>
        <w:tc>
          <w:tcPr>
            <w:tcW w:w="84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Core EBITDA to total revenues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Net principal amount of debt / Total gross assets less cash and cash equivalents </w:t>
            </w:r>
            <w:r>
              <w:rPr>
                <w:rFonts w:ascii="Arial;sans-serif" w:hAnsi="Arial;sans-serif"/>
                <w:b w:val="false"/>
                <w:color w:val="000000"/>
                <w:sz w:val="10"/>
              </w:rPr>
              <w:t>(8)</w:t>
            </w:r>
            <w:r>
              <w:rPr>
                <w:color w:val="000000"/>
              </w:rPr>
              <w:t xml:space="preserve"> </w:t>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38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41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38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38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38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Average net principal amount of debt to Core EBITDA - trailing twelve months </w:t>
            </w:r>
            <w:r>
              <w:rPr>
                <w:rFonts w:ascii="Arial;sans-serif" w:hAnsi="Arial;sans-serif"/>
                <w:b w:val="false"/>
                <w:color w:val="000000"/>
                <w:sz w:val="10"/>
              </w:rPr>
              <w:t>(9)</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x</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Fixed charge coverage ratio - current quarter</w:t>
            </w:r>
            <w:r>
              <w:rPr>
                <w:color w:val="000000"/>
              </w:rPr>
              <w:t xml:space="preserve"> </w:t>
            </w:r>
            <w:r>
              <w:rPr>
                <w:rFonts w:ascii="Arial;sans-serif" w:hAnsi="Arial;sans-serif"/>
                <w:b w:val="false"/>
                <w:color w:val="000000"/>
                <w:sz w:val="10"/>
              </w:rPr>
              <w:t>(10)</w:t>
            </w:r>
          </w:p>
        </w:tc>
        <w:tc>
          <w:tcPr>
            <w:tcW w:w="84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x</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x</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x</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x</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x</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6"/>
        <w:gridCol w:w="111"/>
        <w:gridCol w:w="111"/>
        <w:gridCol w:w="2886"/>
        <w:gridCol w:w="2886"/>
        <w:gridCol w:w="4085"/>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As of March 31, 2026, the Company's in-service office portfolio excluded three projects currently held out of service for redevelopment, totaling</w:t>
            </w:r>
            <w:r>
              <w:rPr>
                <w:color w:val="EE2724"/>
              </w:rPr>
              <w:t xml:space="preserve"> </w:t>
            </w:r>
            <w:r>
              <w:rPr>
                <w:rFonts w:ascii="Arial;sans-serif" w:hAnsi="Arial;sans-serif"/>
                <w:b w:val="false"/>
                <w:color w:val="000000"/>
                <w:sz w:val="14"/>
              </w:rPr>
              <w:t xml:space="preserve">795,000 square feet. Additional information on these projects can be found on page </w:t>
            </w:r>
            <w:hyperlink w:anchor="i8137f97b72284a9fbc7a3411d7fdc13c_0-0-7-15-236682">
              <w:r>
                <w:rPr>
                  <w:rStyle w:val="InternetLink"/>
                  <w:rFonts w:ascii="Arial;sans-serif" w:hAnsi="Arial;sans-serif"/>
                  <w:b w:val="false"/>
                  <w:color w:val="3051F2"/>
                  <w:sz w:val="14"/>
                  <w:u w:val="single"/>
                </w:rPr>
                <w:t>36</w:t>
              </w:r>
            </w:hyperlink>
            <w:r>
              <w:rPr>
                <w:rFonts w:ascii="Arial;sans-serif" w:hAnsi="Arial;sans-serif"/>
                <w:b w:val="false"/>
                <w:color w:val="000000"/>
                <w:sz w:val="14"/>
              </w:rPr>
              <w:t>.</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page </w:t>
            </w:r>
            <w:hyperlink w:anchor="i727db7910f56455c9ef3ff41c5ece7ee_46">
              <w:r>
                <w:rPr>
                  <w:rStyle w:val="InternetLink"/>
                  <w:rFonts w:ascii="Arial;sans-serif" w:hAnsi="Arial;sans-serif"/>
                  <w:b w:val="false"/>
                  <w:strike w:val="false"/>
                  <w:dstrike w:val="false"/>
                  <w:color w:val="3051F2"/>
                  <w:sz w:val="14"/>
                  <w:u w:val="none"/>
                  <w:effect w:val="none"/>
                </w:rPr>
                <w:t>22</w:t>
              </w:r>
            </w:hyperlink>
            <w:r>
              <w:rPr>
                <w:color w:val="000000"/>
              </w:rPr>
              <w:t xml:space="preserve"> </w:t>
            </w:r>
            <w:r>
              <w:rPr>
                <w:rFonts w:ascii="Arial;sans-serif" w:hAnsi="Arial;sans-serif"/>
                <w:b w:val="false"/>
                <w:color w:val="000000"/>
                <w:sz w:val="14"/>
              </w:rPr>
              <w:t>for detailed analysis on the Company's leased percentage.</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Excludes the square footage associated with tenants currently in rental abatement periods.</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the three pages starting with page </w:t>
            </w:r>
            <w:hyperlink w:anchor="i727db7910f56455c9ef3ff41c5ece7ee_34">
              <w:r>
                <w:rPr>
                  <w:rStyle w:val="InternetLink"/>
                  <w:rFonts w:ascii="Arial;sans-serif" w:hAnsi="Arial;sans-serif"/>
                  <w:b w:val="false"/>
                  <w:color w:val="000000"/>
                  <w:sz w:val="14"/>
                  <w:u w:val="single"/>
                </w:rPr>
                <w:t>16</w:t>
              </w:r>
            </w:hyperlink>
            <w:r>
              <w:rPr>
                <w:color w:val="000000"/>
              </w:rPr>
              <w:t xml:space="preserve"> </w:t>
            </w:r>
            <w:r>
              <w:rPr>
                <w:rFonts w:ascii="Arial;sans-serif" w:hAnsi="Arial;sans-serif"/>
                <w:b w:val="false"/>
                <w:color w:val="000000"/>
                <w:sz w:val="14"/>
              </w:rPr>
              <w:t xml:space="preserve">for reconciliations to net income and additional same store net operating income information. The statistic provided for each of the prior quarters is based on the same store property population applicable at the time that the metric was initially reported. </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c>
          <w:tcPr>
            <w:tcW w:w="9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Reflects dividends paid in the quarter in which the record date occurred.</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Defined as the total principal amount of debt outstanding, minus cash and restricted cash and escrows, all as of the end of the period.</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9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Reflects common stock closing price, shares outstanding and principal amount of debt outstanding as of the end of the reporting period.</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9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Metric shown on a net debt basis to account for certain periods presented that had elevated balances of cash and restricted cash and escrows to be used primarily for debt retirement in a future period.</w:t>
            </w:r>
          </w:p>
        </w:tc>
      </w:tr>
      <w:tr>
        <w:trPr/>
        <w:tc>
          <w:tcPr>
            <w:tcW w:w="348" w:type="dxa"/>
            <w:gridSpan w:val="3"/>
            <w:tcBorders/>
            <w:vAlign w:val="center"/>
          </w:tcPr>
          <w:p>
            <w:pPr>
              <w:pStyle w:val="TableContents"/>
              <w:bidi w:val="0"/>
              <w:spacing w:before="0" w:after="283"/>
              <w:jc w:val="left"/>
              <w:rPr>
                <w:sz w:val="4"/>
                <w:szCs w:val="4"/>
              </w:rPr>
            </w:pPr>
            <w:r>
              <w:rPr>
                <w:sz w:val="4"/>
                <w:szCs w:val="4"/>
              </w:rPr>
            </w:r>
          </w:p>
        </w:tc>
        <w:tc>
          <w:tcPr>
            <w:tcW w:w="9857" w:type="dxa"/>
            <w:gridSpan w:val="3"/>
            <w:tcBorders/>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(9)</w:t>
            </w:r>
          </w:p>
        </w:tc>
        <w:tc>
          <w:tcPr>
            <w:tcW w:w="9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using the sum of Core EBITDA for the trailing twelve month period and the average principal balance of debt outstanding for the trailing twelve months less the average balance of cash and restricted cash and escrows during the trailing twelve month period.</w:t>
            </w:r>
          </w:p>
        </w:tc>
      </w:tr>
      <w:tr>
        <w:trPr/>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(10)</w:t>
            </w:r>
          </w:p>
        </w:tc>
        <w:tc>
          <w:tcPr>
            <w:tcW w:w="9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as Core EBITDA divided by the sum of interest expense, principal amortization, capitalized interest and preferred dividends (none during periods presented).</w:t>
            </w:r>
          </w:p>
        </w:tc>
      </w:tr>
      <w:tr>
        <w:trPr/>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The Company recorded principal amortization of $0.9 million for each of the quarters ended March 31, 2026, December 31, 2025, September 30, 2025, June 30, 2025, and March 31, 2025. </w:t>
            </w:r>
          </w:p>
        </w:tc>
      </w:tr>
      <w:tr>
        <w:trPr/>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 Company recorded capitalized interest of $1.1 million for the quarter ended March 31, 2026, $1.6 million for the quarter ended December 31, 2025, $2.9 million for the quarter ended September 30, 2025, $3.2 million for the quarter ended June 30, 2025, and $3.3 million for the quarter ended March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7"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Consolidated Balance Sheets</w:t>
      </w:r>
    </w:p>
    <w:p>
      <w:pPr>
        <w:pStyle w:val="TextBody"/>
        <w:bidi w:val="0"/>
        <w:spacing w:lineRule="auto" w:line="288" w:before="0" w:after="0"/>
        <w:jc w:val="left"/>
        <w:rPr/>
      </w:pPr>
      <w:r>
        <w:rPr>
          <w:rFonts w:ascii="Arial;sans-serif" w:hAnsi="Arial;sans-serif"/>
          <w:b/>
          <w:i/>
          <w:color w:val="000000"/>
          <w:sz w:val="20"/>
        </w:rPr>
        <w:t>Unaudited (in thousands)</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9"/>
        <w:gridCol w:w="810"/>
        <w:gridCol w:w="816"/>
        <w:gridCol w:w="196"/>
        <w:gridCol w:w="886"/>
        <w:gridCol w:w="109"/>
        <w:gridCol w:w="109"/>
        <w:gridCol w:w="109"/>
        <w:gridCol w:w="109"/>
        <w:gridCol w:w="196"/>
        <w:gridCol w:w="886"/>
        <w:gridCol w:w="109"/>
        <w:gridCol w:w="109"/>
        <w:gridCol w:w="109"/>
        <w:gridCol w:w="109"/>
        <w:gridCol w:w="196"/>
        <w:gridCol w:w="886"/>
        <w:gridCol w:w="109"/>
        <w:gridCol w:w="109"/>
        <w:gridCol w:w="109"/>
        <w:gridCol w:w="109"/>
        <w:gridCol w:w="196"/>
        <w:gridCol w:w="886"/>
        <w:gridCol w:w="109"/>
        <w:gridCol w:w="109"/>
        <w:gridCol w:w="109"/>
        <w:gridCol w:w="109"/>
        <w:gridCol w:w="196"/>
        <w:gridCol w:w="886"/>
        <w:gridCol w:w="156"/>
      </w:tblGrid>
      <w:tr>
        <w:trPr/>
        <w:tc>
          <w:tcPr>
            <w:tcW w:w="126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assets, at cost: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542,473 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548,096 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Buildings and improvements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3,918,373 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Buildings and improvements, accumulated depreciation</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(1,321,935)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(1,278,600)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(1,238,031)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(1,199,698)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(1,183,585)</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lease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lease assets, accumulated amortization</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(77,271)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(73,824)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(71,501)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(68,474)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(77,090)</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in progress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assets held for sale, net</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real estate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3,421,687 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3,421,709 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3,417,231 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3,449,110 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receivables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Straight-line rent receivables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216,416 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214,285 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211,591 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207,025 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201,228 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escrows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27,598 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29,075 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lease costs, gross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lease costs, accumulated amortization</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(222,242)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(209,155)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(207,671)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(198,398)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(208,218)</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4,033,931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4,031,354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4,003,728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3,980,263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4,003,957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191"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Unsecured debt, net of discount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debt</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187,899 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188,822 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189,736 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190,641 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191,536 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expenses and accrued capital expenditures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117,733 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112,124 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94,529 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104,988 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lease liabilities, less accumulated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2,551,005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2,534,651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2,466,681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2,432,253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2,442,226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3,728,827 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3,730,273 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3,727,914 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3,725,769 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3,723,373 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Cumulative distributions in excess of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(2,227,350)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(2,153,834)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(9,873)</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(10,575)</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Piedmont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1,481,427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1,495,201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1,535,538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1,546,499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1,560,208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1,482,926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1,496,703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1,537,047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1,548,010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1,561,731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4,033,931</w:t>
            </w: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4,031,354</w:t>
            </w: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4,003,728</w:t>
            </w: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3,980,263</w:t>
            </w: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4,003,957</w:t>
            </w:r>
            <w:r>
              <w:rPr>
                <w:color w:val="000000"/>
              </w:rPr>
              <w:t> </w:t>
            </w:r>
          </w:p>
        </w:tc>
        <w:tc>
          <w:tcPr>
            <w:tcW w:w="15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8"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Consolidated Statements of Income</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Unaudited (in thousands except for per share data)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8"/>
        <w:gridCol w:w="1158"/>
        <w:gridCol w:w="116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31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Revenues: </w:t>
            </w:r>
            <w:r>
              <w:rPr>
                <w:rFonts w:ascii="Arial;sans-serif" w:hAnsi="Arial;sans-serif"/>
                <w:b w:val="false"/>
                <w:color w:val="000000"/>
                <w:sz w:val="10"/>
              </w:rPr>
              <w:t>(1)</w:t>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Rental revenue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Tenant reimbursements </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23,048 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24,288 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management fee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related income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143,294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142,853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139,163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140,292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142,686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42,127 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40,646 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40,893 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7,563 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124,505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123,945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120,812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119,001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121,791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income </w:t>
            </w:r>
            <w:r>
              <w:rPr>
                <w:rFonts w:ascii="Arial;sans-serif" w:hAnsi="Arial;sans-serif"/>
                <w:b w:val="false"/>
                <w:color w:val="000000"/>
                <w:sz w:val="10"/>
              </w:rPr>
              <w:t>(2)</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Loss on early extinguishment of debt </w:t>
            </w:r>
            <w:r>
              <w:rPr>
                <w:rFonts w:ascii="Arial;sans-serif" w:hAnsi="Arial;sans-serif"/>
                <w:b w:val="false"/>
                <w:color w:val="000000"/>
                <w:sz w:val="10"/>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(10,098)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applicable to noncontrolling interest</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applicable to Piedmont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(10,104)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 xml:space="preserve">Weighted average common shares outstanding - basic and diluted </w:t>
            </w:r>
            <w:r>
              <w:rPr>
                <w:rFonts w:ascii="Arial;sans-serif" w:hAnsi="Arial;sans-serif"/>
                <w:b w:val="false"/>
                <w:i/>
                <w:color w:val="000000"/>
                <w:sz w:val="10"/>
              </w:rPr>
              <w:t>(4)</w:t>
            </w:r>
          </w:p>
        </w:tc>
        <w:tc>
          <w:tcPr>
            <w:tcW w:w="932" w:type="dxa"/>
            <w:gridSpan w:val="2"/>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124,806 </w:t>
            </w:r>
          </w:p>
        </w:tc>
        <w:tc>
          <w:tcPr>
            <w:tcW w:w="109"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124,519 </w:t>
            </w:r>
          </w:p>
        </w:tc>
        <w:tc>
          <w:tcPr>
            <w:tcW w:w="109"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124,502 </w:t>
            </w:r>
          </w:p>
        </w:tc>
        <w:tc>
          <w:tcPr>
            <w:tcW w:w="109"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124,459 </w:t>
            </w:r>
          </w:p>
        </w:tc>
        <w:tc>
          <w:tcPr>
            <w:tcW w:w="109"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124,258 </w:t>
            </w:r>
          </w:p>
        </w:tc>
        <w:tc>
          <w:tcPr>
            <w:tcW w:w="156"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per share applicable to common stockholders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3"/>
        <w:gridCol w:w="2882"/>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To be in conformance with GAAP presentation, the Company would combine "Rental income" and "Tenant reimbursements" amounts and present an aggregated figure on one line entitled "Rental and tenant reimbursement revenue."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Includes interest income (in thousands) of $32, $38, $60, $31, and $395 for the three months ended March 31, 2026, December 31, 2025, September 30, 2025, June 30, 2025, and March 31,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 xml:space="preserve">The loss on early extinguishment of debt recorded in the three months ended December 31, 2025 is related to the repurchase of $245.2 million in principal amount of the 9.25% senior notes due 2028.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 xml:space="preserve">As Piedmont recognized a net loss for the periods presented, earnings per share is computed using basic weighted-average common shares outstanding.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9"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Consolidated Statements of Income</w:t>
      </w:r>
    </w:p>
    <w:p>
      <w:pPr>
        <w:pStyle w:val="TextBody"/>
        <w:bidi w:val="0"/>
        <w:spacing w:lineRule="auto" w:line="288" w:before="0" w:after="0"/>
        <w:jc w:val="left"/>
        <w:rPr/>
      </w:pPr>
      <w:r>
        <w:rPr>
          <w:rFonts w:ascii="Arial;sans-serif" w:hAnsi="Arial;sans-serif"/>
          <w:b/>
          <w:i/>
          <w:color w:val="000000"/>
          <w:sz w:val="20"/>
        </w:rPr>
        <w:t>Unaudited (in thousands except for per share data)</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06"/>
        <w:gridCol w:w="1588"/>
        <w:gridCol w:w="1603"/>
        <w:gridCol w:w="196"/>
        <w:gridCol w:w="736"/>
        <w:gridCol w:w="109"/>
        <w:gridCol w:w="196"/>
        <w:gridCol w:w="736"/>
        <w:gridCol w:w="109"/>
        <w:gridCol w:w="109"/>
        <w:gridCol w:w="109"/>
        <w:gridCol w:w="109"/>
        <w:gridCol w:w="202"/>
        <w:gridCol w:w="639"/>
        <w:gridCol w:w="112"/>
        <w:gridCol w:w="312"/>
        <w:gridCol w:w="305"/>
        <w:gridCol w:w="526"/>
        <w:gridCol w:w="109"/>
        <w:gridCol w:w="109"/>
        <w:gridCol w:w="109"/>
        <w:gridCol w:w="109"/>
        <w:gridCol w:w="109"/>
        <w:gridCol w:w="158"/>
      </w:tblGrid>
      <w:tr>
        <w:trPr/>
        <w:tc>
          <w:tcPr>
            <w:tcW w:w="180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Revenues: </w:t>
            </w:r>
            <w:r>
              <w:rPr>
                <w:rFonts w:ascii="Arial;sans-serif" w:hAnsi="Arial;sans-serif"/>
                <w:b w:val="false"/>
                <w:color w:val="000000"/>
                <w:sz w:val="10"/>
              </w:rPr>
              <w:t>(1)</w:t>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Rental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Tenant reimbursements </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23,048 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w:t>
            </w:r>
          </w:p>
        </w:tc>
        <w:tc>
          <w:tcPr>
            <w:tcW w:w="11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5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management fee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related income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1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5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Property operating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(3,134)</w:t>
            </w:r>
          </w:p>
        </w:tc>
        <w:tc>
          <w:tcPr>
            <w:tcW w:w="11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5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11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5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1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w:t>
            </w:r>
          </w:p>
        </w:tc>
        <w:tc>
          <w:tcPr>
            <w:tcW w:w="5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w:t>
            </w:r>
          </w:p>
        </w:tc>
        <w:tc>
          <w:tcPr>
            <w:tcW w:w="11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5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(2,817)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(27.9)</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applicable to noncontrolling interest</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5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applicable to Piedmont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(2,816)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(27.9)</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 xml:space="preserve">Weighted average common shares outstanding - basic and diluted </w:t>
            </w:r>
            <w:r>
              <w:rPr>
                <w:rFonts w:ascii="Arial;sans-serif" w:hAnsi="Arial;sans-serif"/>
                <w:b w:val="false"/>
                <w:i/>
                <w:color w:val="000000"/>
                <w:sz w:val="10"/>
              </w:rPr>
              <w:t>(2)</w:t>
            </w:r>
          </w:p>
        </w:tc>
        <w:tc>
          <w:tcPr>
            <w:tcW w:w="932" w:type="dxa"/>
            <w:gridSpan w:val="2"/>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124,806 </w:t>
            </w:r>
          </w:p>
        </w:tc>
        <w:tc>
          <w:tcPr>
            <w:tcW w:w="109"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124,258 </w:t>
            </w:r>
          </w:p>
        </w:tc>
        <w:tc>
          <w:tcPr>
            <w:tcW w:w="109"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per share applicable to common stockholders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82"/>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To be in conformance with GAAP presentation, the Company would combine "Rental income" and "Tenant reimbursements" amounts and present an aggregated figure on one line entitled "Rental and tenant reimbursement revenue."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 xml:space="preserve">As Piedmont recognized a net loss for the periods presented, earnings per share is computed using basic weighted-average common shares outstanding.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0"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Funds From Operations, Core Funds From Operations and Adjusted Funds From Operations</w:t>
      </w:r>
    </w:p>
    <w:p>
      <w:pPr>
        <w:pStyle w:val="TextBody"/>
        <w:bidi w:val="0"/>
        <w:spacing w:lineRule="auto" w:line="288" w:before="0" w:after="0"/>
        <w:jc w:val="left"/>
        <w:rPr/>
      </w:pPr>
      <w:r>
        <w:rPr>
          <w:rFonts w:ascii="Arial;sans-serif" w:hAnsi="Arial;sans-serif"/>
          <w:b/>
          <w:i/>
          <w:color w:val="000000"/>
          <w:sz w:val="20"/>
        </w:rPr>
        <w:t>Unaudited (in thousands except for per share data)</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45" w:type="dxa"/>
        <w:jc w:val="left"/>
        <w:tblInd w:w="0" w:type="dxa"/>
        <w:tblLayout w:type="fixed"/>
        <w:tblCellMar>
          <w:top w:w="28" w:type="dxa"/>
          <w:left w:w="28" w:type="dxa"/>
          <w:bottom w:w="28" w:type="dxa"/>
          <w:right w:w="28" w:type="dxa"/>
        </w:tblCellMar>
      </w:tblPr>
      <w:tblGrid>
        <w:gridCol w:w="1840"/>
        <w:gridCol w:w="1617"/>
        <w:gridCol w:w="1628"/>
        <w:gridCol w:w="196"/>
        <w:gridCol w:w="721"/>
        <w:gridCol w:w="109"/>
        <w:gridCol w:w="109"/>
        <w:gridCol w:w="109"/>
        <w:gridCol w:w="109"/>
        <w:gridCol w:w="196"/>
        <w:gridCol w:w="721"/>
        <w:gridCol w:w="109"/>
        <w:gridCol w:w="109"/>
        <w:gridCol w:w="109"/>
        <w:gridCol w:w="109"/>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net loss applicable to common stock</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(12,920)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(10,104)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of real estate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lease-related costs</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NAREIT Funds From Operations applicable to common stock</w:t>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46,018</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45,033</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Loss on early extinguishment of debt </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Funds From Operations applicable to common stock</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46,018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2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debt issuance costs and discounts on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non-real estate assets</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Straight-line effects of lease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adjustments</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lease-related intangibles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Non-incremental capital expenditures </w:t>
            </w:r>
            <w:r>
              <w:rPr>
                <w:rFonts w:ascii="Arial;sans-serif" w:hAnsi="Arial;sans-serif"/>
                <w:b w:val="false"/>
                <w:color w:val="000000"/>
                <w:sz w:val="10"/>
              </w:rPr>
              <w:t>(1)</w:t>
            </w:r>
          </w:p>
        </w:tc>
        <w:tc>
          <w:tcPr>
            <w:tcW w:w="102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Base Building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Tenant Improvement Costs</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Leasing Commission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Funds From Operations applicable to common stock</w:t>
            </w:r>
          </w:p>
        </w:tc>
        <w:tc>
          <w:tcPr>
            <w:tcW w:w="1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23,842</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23,489</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Weighted average common shares outstanding - diluted </w:t>
            </w:r>
            <w:r>
              <w:rPr>
                <w:rFonts w:ascii="Arial;sans-serif" w:hAnsi="Arial;sans-serif"/>
                <w:b w:val="false"/>
                <w:color w:val="000000"/>
                <w:sz w:val="10"/>
              </w:rPr>
              <w:t>(2)</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126,136 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125,177 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NAREIT Funds From Operations per share (diluted)</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Core Funds From Operations per share (diluted)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Non-incremental capital expenditures are defined on page </w:t>
            </w:r>
            <w:hyperlink w:anchor="i727db7910f56455c9ef3ff41c5ece7ee_91">
              <w:r>
                <w:rPr>
                  <w:rStyle w:val="InternetLink"/>
                  <w:rFonts w:ascii="Arial;sans-serif" w:hAnsi="Arial;sans-serif"/>
                  <w:b w:val="false"/>
                  <w:strike w:val="false"/>
                  <w:dstrike w:val="false"/>
                  <w:color w:val="000000"/>
                  <w:sz w:val="14"/>
                  <w:u w:val="none"/>
                  <w:effect w:val="none"/>
                </w:rPr>
                <w:t>38</w:t>
              </w:r>
            </w:hyperlink>
            <w:r>
              <w:rPr>
                <w:rFonts w:ascii="Arial;sans-serif" w:hAnsi="Arial;sans-serif"/>
                <w:b w:val="false"/>
                <w:color w:val="000000"/>
                <w:sz w:val="14"/>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Includes potential share dilution using the treasury stock method. Such shares are not included when calculating net loss per share applicable to Piedmont as presented on the Consolidated Statements of Income, as they would reduce the loss per share presented.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1"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Same Store Net Operating Income (Cash Basis)</w:t>
      </w:r>
    </w:p>
    <w:p>
      <w:pPr>
        <w:pStyle w:val="TextBody"/>
        <w:bidi w:val="0"/>
        <w:spacing w:lineRule="auto" w:line="288" w:before="0" w:after="0"/>
        <w:jc w:val="left"/>
        <w:rPr/>
      </w:pPr>
      <w:r>
        <w:rPr>
          <w:rFonts w:ascii="Arial;sans-serif" w:hAnsi="Arial;sans-serif"/>
          <w:b/>
          <w:i/>
          <w:color w:val="000000"/>
          <w:sz w:val="20"/>
        </w:rPr>
        <w:t>Unaudited (in thousands)</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57" w:type="dxa"/>
        <w:jc w:val="left"/>
        <w:tblInd w:w="0" w:type="dxa"/>
        <w:tblLayout w:type="fixed"/>
        <w:tblCellMar>
          <w:top w:w="28" w:type="dxa"/>
          <w:left w:w="28" w:type="dxa"/>
          <w:bottom w:w="28" w:type="dxa"/>
          <w:right w:w="28" w:type="dxa"/>
        </w:tblCellMar>
      </w:tblPr>
      <w:tblGrid>
        <w:gridCol w:w="1357"/>
        <w:gridCol w:w="1192"/>
        <w:gridCol w:w="1201"/>
        <w:gridCol w:w="196"/>
        <w:gridCol w:w="721"/>
        <w:gridCol w:w="256"/>
        <w:gridCol w:w="109"/>
        <w:gridCol w:w="109"/>
        <w:gridCol w:w="109"/>
        <w:gridCol w:w="196"/>
        <w:gridCol w:w="721"/>
        <w:gridCol w:w="109"/>
        <w:gridCol w:w="109"/>
        <w:gridCol w:w="109"/>
        <w:gridCol w:w="109"/>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applicable to Piedmont</w:t>
            </w:r>
          </w:p>
        </w:tc>
        <w:tc>
          <w:tcPr>
            <w:tcW w:w="1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(12,920)</w:t>
            </w:r>
          </w:p>
        </w:tc>
        <w:tc>
          <w:tcPr>
            <w:tcW w:w="2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(10,104)</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applicable to noncontrolling interest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31,929 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w:t>
            </w:r>
            <w:r>
              <w:rPr>
                <w:color w:val="000000"/>
              </w:rPr>
              <w:t xml:space="preserve"> </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15,263 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EBITDAre</w:t>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78,304</w:t>
            </w:r>
            <w:r>
              <w:rPr>
                <w:color w:val="000000"/>
              </w:rPr>
              <w:t> </w:t>
            </w:r>
          </w:p>
        </w:tc>
        <w:tc>
          <w:tcPr>
            <w:tcW w:w="2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77,105</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Core EBITDA</w:t>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78,304</w:t>
            </w:r>
            <w:r>
              <w:rPr>
                <w:color w:val="000000"/>
              </w:rPr>
              <w:t> </w:t>
            </w:r>
          </w:p>
        </w:tc>
        <w:tc>
          <w:tcPr>
            <w:tcW w:w="2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77,605</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Management fee revenue (net)</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Straight-line effects of lease revenue</w:t>
            </w:r>
            <w:r>
              <w:rPr>
                <w:color w:val="000000"/>
              </w:rPr>
              <w:t xml:space="preserve"> </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lease-related intangibles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net operating income (cash basis)</w:t>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79,615</w:t>
            </w:r>
            <w:r>
              <w:rPr>
                <w:color w:val="000000"/>
              </w:rPr>
              <w:t> </w:t>
            </w:r>
          </w:p>
        </w:tc>
        <w:tc>
          <w:tcPr>
            <w:tcW w:w="2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73,086</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 net operating (income) loss from:</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Acquisitions</w:t>
            </w:r>
            <w:r>
              <w:rPr>
                <w:color w:val="000000"/>
              </w:rPr>
              <w:t xml:space="preserve"> </w:t>
            </w:r>
            <w:r>
              <w:rPr>
                <w:rFonts w:ascii="Arial;sans-serif" w:hAnsi="Arial;sans-serif"/>
                <w:b w:val="false"/>
                <w:color w:val="000000"/>
                <w:sz w:val="10"/>
              </w:rPr>
              <w:t>(1)</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Dispositions</w:t>
            </w:r>
            <w:r>
              <w:rPr>
                <w:color w:val="000000"/>
              </w:rPr>
              <w:t xml:space="preserve"> </w:t>
            </w:r>
            <w:r>
              <w:rPr>
                <w:rFonts w:ascii="Arial;sans-serif" w:hAnsi="Arial;sans-serif"/>
                <w:b w:val="false"/>
                <w:color w:val="000000"/>
                <w:sz w:val="10"/>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investments </w:t>
            </w:r>
            <w:r>
              <w:rPr>
                <w:rFonts w:ascii="Arial;sans-serif" w:hAnsi="Arial;sans-serif"/>
                <w:b w:val="false"/>
                <w:color w:val="000000"/>
                <w:sz w:val="10"/>
              </w:rPr>
              <w:t>(2)</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net operating income (cash basis)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79,987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72,024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Change period over period</w:t>
            </w:r>
          </w:p>
        </w:tc>
        <w:tc>
          <w:tcPr>
            <w:tcW w:w="917" w:type="dxa"/>
            <w:gridSpan w:val="2"/>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11.1 </w:t>
            </w:r>
          </w:p>
        </w:tc>
        <w:tc>
          <w:tcPr>
            <w:tcW w:w="256" w:type="dxa"/>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79"/>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page </w:t>
            </w:r>
            <w:hyperlink w:anchor="i727db7910f56455c9ef3ff41c5ece7ee_88">
              <w:r>
                <w:rPr>
                  <w:rStyle w:val="InternetLink"/>
                  <w:rFonts w:ascii="Arial;sans-serif" w:hAnsi="Arial;sans-serif"/>
                  <w:b w:val="false"/>
                  <w:strike w:val="false"/>
                  <w:dstrike w:val="false"/>
                  <w:color w:val="3051F2"/>
                  <w:sz w:val="14"/>
                  <w:u w:val="none"/>
                  <w:effect w:val="none"/>
                </w:rPr>
                <w:t>37</w:t>
              </w:r>
            </w:hyperlink>
            <w:r>
              <w:rPr>
                <w:color w:val="3051F2"/>
                <w:u w:val="single"/>
              </w:rPr>
              <w:t xml:space="preserve"> </w:t>
            </w:r>
            <w:r>
              <w:rPr>
                <w:rFonts w:ascii="Arial;sans-serif" w:hAnsi="Arial;sans-serif"/>
                <w:b w:val="false"/>
                <w:color w:val="000000"/>
                <w:sz w:val="14"/>
              </w:rPr>
              <w:t>for detailed information on recent acquisitions and dispositions.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Reflects three redevelopment projects currently held out-of-service and various land holdings. Refer to pages </w:t>
            </w:r>
            <w:hyperlink w:anchor="i8137f97b72284a9fbc7a3411d7fdc13c_0-0-7-15-236682">
              <w:r>
                <w:rPr>
                  <w:rStyle w:val="InternetLink"/>
                  <w:rFonts w:ascii="Arial;sans-serif" w:hAnsi="Arial;sans-serif"/>
                  <w:b w:val="false"/>
                  <w:color w:val="3051F2"/>
                  <w:sz w:val="14"/>
                  <w:u w:val="single"/>
                </w:rPr>
                <w:t>36</w:t>
              </w:r>
            </w:hyperlink>
            <w:r>
              <w:rPr>
                <w:color w:val="3051F2"/>
              </w:rPr>
              <w:t xml:space="preserve"> </w:t>
            </w:r>
            <w:r>
              <w:rPr>
                <w:rFonts w:ascii="Arial;sans-serif" w:hAnsi="Arial;sans-serif"/>
                <w:b w:val="false"/>
                <w:color w:val="000000"/>
                <w:sz w:val="14"/>
              </w:rPr>
              <w:t xml:space="preserve">and </w:t>
            </w:r>
            <w:hyperlink w:anchor="i727db7910f56455c9ef3ff41c5ece7ee_88">
              <w:r>
                <w:rPr>
                  <w:rStyle w:val="InternetLink"/>
                  <w:rFonts w:ascii="Arial;sans-serif" w:hAnsi="Arial;sans-serif"/>
                  <w:b w:val="false"/>
                  <w:strike w:val="false"/>
                  <w:dstrike w:val="false"/>
                  <w:color w:val="3051F2"/>
                  <w:sz w:val="14"/>
                  <w:u w:val="none"/>
                  <w:effect w:val="none"/>
                </w:rPr>
                <w:t>37</w:t>
              </w:r>
            </w:hyperlink>
            <w:r>
              <w:rPr>
                <w:color w:val="000000"/>
              </w:rPr>
              <w:t xml:space="preserve"> </w:t>
            </w:r>
            <w:r>
              <w:rPr>
                <w:rFonts w:ascii="Arial;sans-serif" w:hAnsi="Arial;sans-serif"/>
                <w:b w:val="false"/>
                <w:color w:val="000000"/>
                <w:sz w:val="14"/>
              </w:rPr>
              <w:t>for detailed information on these entities.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2"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Same Store Net Operating Income (Accrual Basis)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951" w:type="dxa"/>
        <w:jc w:val="left"/>
        <w:tblInd w:w="0" w:type="dxa"/>
        <w:tblLayout w:type="fixed"/>
        <w:tblCellMar>
          <w:top w:w="28" w:type="dxa"/>
          <w:left w:w="28" w:type="dxa"/>
          <w:bottom w:w="28" w:type="dxa"/>
          <w:right w:w="28" w:type="dxa"/>
        </w:tblCellMar>
      </w:tblPr>
      <w:tblGrid>
        <w:gridCol w:w="1427"/>
        <w:gridCol w:w="1254"/>
        <w:gridCol w:w="1263"/>
        <w:gridCol w:w="196"/>
        <w:gridCol w:w="721"/>
        <w:gridCol w:w="256"/>
        <w:gridCol w:w="109"/>
        <w:gridCol w:w="109"/>
        <w:gridCol w:w="109"/>
        <w:gridCol w:w="196"/>
        <w:gridCol w:w="721"/>
        <w:gridCol w:w="109"/>
        <w:gridCol w:w="109"/>
        <w:gridCol w:w="109"/>
        <w:gridCol w:w="109"/>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applicable to Piedmont</w:t>
            </w:r>
          </w:p>
        </w:tc>
        <w:tc>
          <w:tcPr>
            <w:tcW w:w="1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(12,920)</w:t>
            </w:r>
          </w:p>
        </w:tc>
        <w:tc>
          <w:tcPr>
            <w:tcW w:w="2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(10,104)</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applicable to noncontrolling interest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31,929 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Depreciation</w:t>
            </w:r>
            <w:r>
              <w:rPr>
                <w:color w:val="000000"/>
              </w:rPr>
              <w:t xml:space="preserv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w:t>
            </w:r>
            <w:r>
              <w:rPr>
                <w:color w:val="000000"/>
              </w:rPr>
              <w:t xml:space="preserve"> </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15,263 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EBITDAre</w:t>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78,304</w:t>
            </w:r>
            <w:r>
              <w:rPr>
                <w:color w:val="000000"/>
              </w:rPr>
              <w:t> </w:t>
            </w:r>
          </w:p>
        </w:tc>
        <w:tc>
          <w:tcPr>
            <w:tcW w:w="2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77,105</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Core EBITDA</w:t>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78,304</w:t>
            </w:r>
            <w:r>
              <w:rPr>
                <w:color w:val="000000"/>
              </w:rPr>
              <w:t> </w:t>
            </w:r>
          </w:p>
        </w:tc>
        <w:tc>
          <w:tcPr>
            <w:tcW w:w="2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77,605</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Management fee revenue (net)</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Other income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net operating income (accrual basis)</w:t>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85,937</w:t>
            </w:r>
            <w:r>
              <w:rPr>
                <w:color w:val="000000"/>
              </w:rPr>
              <w:t> </w:t>
            </w:r>
          </w:p>
        </w:tc>
        <w:tc>
          <w:tcPr>
            <w:tcW w:w="2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84,816</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Acquisitions </w:t>
            </w:r>
            <w:r>
              <w:rPr>
                <w:rFonts w:ascii="Arial;sans-serif" w:hAnsi="Arial;sans-serif"/>
                <w:b w:val="false"/>
                <w:color w:val="000000"/>
                <w:sz w:val="10"/>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Dispositions</w:t>
            </w:r>
            <w:r>
              <w:rPr>
                <w:color w:val="000000"/>
              </w:rPr>
              <w:t xml:space="preserve"> </w:t>
            </w:r>
            <w:r>
              <w:rPr>
                <w:rFonts w:ascii="Arial;sans-serif" w:hAnsi="Arial;sans-serif"/>
                <w:b w:val="false"/>
                <w:color w:val="000000"/>
                <w:sz w:val="10"/>
              </w:rPr>
              <w:t>(1)</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investments </w:t>
            </w:r>
            <w:r>
              <w:rPr>
                <w:rFonts w:ascii="Arial;sans-serif" w:hAnsi="Arial;sans-serif"/>
                <w:b w:val="false"/>
                <w:color w:val="000000"/>
                <w:sz w:val="10"/>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net operating income (accrual basis)</w:t>
            </w:r>
          </w:p>
        </w:tc>
        <w:tc>
          <w:tcPr>
            <w:tcW w:w="1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85,327</w:t>
            </w:r>
            <w:r>
              <w:rPr>
                <w:color w:val="000000"/>
              </w:rPr>
              <w:t> </w:t>
            </w:r>
          </w:p>
        </w:tc>
        <w:tc>
          <w:tcPr>
            <w:tcW w:w="2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83,747</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Change period over period</w:t>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79"/>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page </w:t>
            </w:r>
            <w:hyperlink w:anchor="i727db7910f56455c9ef3ff41c5ece7ee_88">
              <w:r>
                <w:rPr>
                  <w:rStyle w:val="InternetLink"/>
                  <w:rFonts w:ascii="Arial;sans-serif" w:hAnsi="Arial;sans-serif"/>
                  <w:b w:val="false"/>
                  <w:strike w:val="false"/>
                  <w:dstrike w:val="false"/>
                  <w:color w:val="3051F2"/>
                  <w:sz w:val="14"/>
                  <w:u w:val="none"/>
                  <w:effect w:val="none"/>
                </w:rPr>
                <w:t>37</w:t>
              </w:r>
            </w:hyperlink>
            <w:r>
              <w:rPr>
                <w:color w:val="3051F2"/>
                <w:u w:val="single"/>
              </w:rPr>
              <w:t xml:space="preserve"> </w:t>
            </w:r>
            <w:r>
              <w:rPr>
                <w:rFonts w:ascii="Arial;sans-serif" w:hAnsi="Arial;sans-serif"/>
                <w:b w:val="false"/>
                <w:color w:val="000000"/>
                <w:sz w:val="14"/>
              </w:rPr>
              <w:t>for detailed information on recent acquisitions and dispositions.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Reflects three redevelopment projects currently held out-of-service and various land holdings. Refer to pages </w:t>
            </w:r>
            <w:hyperlink w:anchor="i8137f97b72284a9fbc7a3411d7fdc13c_0-0-7-15-236682">
              <w:r>
                <w:rPr>
                  <w:rStyle w:val="InternetLink"/>
                  <w:rFonts w:ascii="Arial;sans-serif" w:hAnsi="Arial;sans-serif"/>
                  <w:b w:val="false"/>
                  <w:color w:val="3051F2"/>
                  <w:sz w:val="14"/>
                  <w:u w:val="single"/>
                </w:rPr>
                <w:t>36</w:t>
              </w:r>
            </w:hyperlink>
            <w:r>
              <w:rPr>
                <w:color w:val="3051F2"/>
              </w:rPr>
              <w:t xml:space="preserve"> </w:t>
            </w:r>
            <w:r>
              <w:rPr>
                <w:rFonts w:ascii="Arial;sans-serif" w:hAnsi="Arial;sans-serif"/>
                <w:b w:val="false"/>
                <w:color w:val="000000"/>
                <w:sz w:val="14"/>
              </w:rPr>
              <w:t xml:space="preserve">and </w:t>
            </w:r>
            <w:hyperlink w:anchor="i727db7910f56455c9ef3ff41c5ece7ee_88">
              <w:r>
                <w:rPr>
                  <w:rStyle w:val="InternetLink"/>
                  <w:rFonts w:ascii="Arial;sans-serif" w:hAnsi="Arial;sans-serif"/>
                  <w:b w:val="false"/>
                  <w:strike w:val="false"/>
                  <w:dstrike w:val="false"/>
                  <w:color w:val="3051F2"/>
                  <w:sz w:val="14"/>
                  <w:u w:val="none"/>
                  <w:effect w:val="none"/>
                </w:rPr>
                <w:t>37</w:t>
              </w:r>
            </w:hyperlink>
            <w:r>
              <w:rPr>
                <w:color w:val="000000"/>
              </w:rPr>
              <w:t xml:space="preserve"> </w:t>
            </w:r>
            <w:r>
              <w:rPr>
                <w:rFonts w:ascii="Arial;sans-serif" w:hAnsi="Arial;sans-serif"/>
                <w:b w:val="false"/>
                <w:color w:val="000000"/>
                <w:sz w:val="14"/>
              </w:rPr>
              <w:t>for detailed information on these entities.</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3"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Same Store Net Operating Income (Financial Components)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50" w:type="dxa"/>
        <w:jc w:val="left"/>
        <w:tblInd w:w="0" w:type="dxa"/>
        <w:tblLayout w:type="fixed"/>
        <w:tblCellMar>
          <w:top w:w="28" w:type="dxa"/>
          <w:left w:w="28" w:type="dxa"/>
          <w:bottom w:w="28" w:type="dxa"/>
          <w:right w:w="28" w:type="dxa"/>
        </w:tblCellMar>
      </w:tblPr>
      <w:tblGrid>
        <w:gridCol w:w="151"/>
        <w:gridCol w:w="133"/>
        <w:gridCol w:w="133"/>
        <w:gridCol w:w="1014"/>
        <w:gridCol w:w="1014"/>
        <w:gridCol w:w="1032"/>
        <w:gridCol w:w="196"/>
        <w:gridCol w:w="736"/>
        <w:gridCol w:w="109"/>
        <w:gridCol w:w="196"/>
        <w:gridCol w:w="661"/>
        <w:gridCol w:w="109"/>
        <w:gridCol w:w="218"/>
        <w:gridCol w:w="636"/>
        <w:gridCol w:w="121"/>
        <w:gridCol w:w="292"/>
        <w:gridCol w:w="248"/>
        <w:gridCol w:w="561"/>
        <w:gridCol w:w="109"/>
        <w:gridCol w:w="109"/>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7" w:type="dxa"/>
            <w:gridSpan w:val="6"/>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Cash rental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reimbursements</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w:t>
            </w:r>
          </w:p>
        </w:tc>
        <w:tc>
          <w:tcPr>
            <w:tcW w:w="12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5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Straight-line effects of lease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Amortization of lease-related intangibles </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2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5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rents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134,941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1,330</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property related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7" w:type="dxa"/>
            <w:gridSpan w:val="6"/>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932"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141,632</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140,112</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1,520</w:t>
            </w:r>
            <w:r>
              <w:rPr>
                <w:color w:val="000000"/>
              </w:rPr>
              <w:t> </w:t>
            </w:r>
          </w:p>
        </w:tc>
        <w:tc>
          <w:tcPr>
            <w:tcW w:w="12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56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7" w:type="dxa"/>
            <w:gridSpan w:val="6"/>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Less: Property operating expense </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56,413 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56,473 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2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5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7" w:type="dxa"/>
            <w:gridSpan w:val="6"/>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Other income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net operating income (accrual)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85,327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83,747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1,580</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5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7" w:type="dxa"/>
            <w:gridSpan w:val="6"/>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Straight-line effects of lease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lease-related intangibles</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2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5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net operating income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79,987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72,024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7,963</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4"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Summary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Unaudited ($ in thousands)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54" w:type="dxa"/>
        <w:jc w:val="left"/>
        <w:tblInd w:w="0" w:type="dxa"/>
        <w:tblLayout w:type="fixed"/>
        <w:tblCellMar>
          <w:top w:w="28" w:type="dxa"/>
          <w:left w:w="28" w:type="dxa"/>
          <w:bottom w:w="28" w:type="dxa"/>
          <w:right w:w="28" w:type="dxa"/>
        </w:tblCellMar>
      </w:tblPr>
      <w:tblGrid>
        <w:gridCol w:w="463"/>
        <w:gridCol w:w="406"/>
        <w:gridCol w:w="406"/>
        <w:gridCol w:w="370"/>
        <w:gridCol w:w="370"/>
        <w:gridCol w:w="371"/>
        <w:gridCol w:w="1591"/>
        <w:gridCol w:w="514"/>
        <w:gridCol w:w="514"/>
        <w:gridCol w:w="516"/>
        <w:gridCol w:w="359"/>
        <w:gridCol w:w="359"/>
        <w:gridCol w:w="361"/>
        <w:gridCol w:w="154"/>
      </w:tblGrid>
      <w:tr>
        <w:trPr/>
        <w:tc>
          <w:tcPr>
            <w:tcW w:w="46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1" w:type="dxa"/>
            <w:gridSpan w:val="10"/>
            <w:tcBorders>
              <w:right w:val="single" w:sz="8" w:space="0" w:color="FFFFFF"/>
            </w:tcBorders>
            <w:tcMar>
              <w:top w:w="0" w:type="dxa"/>
              <w:left w:w="0" w:type="dxa"/>
              <w:bottom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Floating Rate &amp; Fixed Rate Debt</w:t>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Debt</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Principal</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Outstanding</w:t>
            </w:r>
          </w:p>
        </w:tc>
        <w:tc>
          <w:tcPr>
            <w:tcW w:w="1591" w:type="dxa"/>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 xml:space="preserve">Weighted Average </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Interest Rate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Weighted Average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Maturity</w:t>
            </w:r>
          </w:p>
        </w:tc>
        <w:tc>
          <w:tcPr>
            <w:tcW w:w="1233" w:type="dxa"/>
            <w:gridSpan w:val="4"/>
            <w:tcBorders/>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w:t>
            </w:r>
          </w:p>
        </w:tc>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$1,875,157</w:t>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5.64%</w:t>
            </w:r>
          </w:p>
        </w:tc>
        <w:tc>
          <w:tcPr>
            <w:tcW w:w="1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53.0 months</w:t>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6"/>
              </w:rPr>
              <w:t xml:space="preserve">Floating Rate </w:t>
            </w:r>
            <w:r>
              <w:rPr>
                <w:rFonts w:ascii="Arial;sans-serif" w:hAnsi="Arial;sans-serif"/>
                <w:b w:val="false"/>
                <w:color w:val="000000"/>
                <w:sz w:val="10"/>
              </w:rPr>
              <w:t xml:space="preserve">(1) </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4.89%</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27.4 months</w:t>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11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$2,274,157</w:t>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5.51%</w:t>
            </w:r>
          </w:p>
        </w:tc>
        <w:tc>
          <w:tcPr>
            <w:tcW w:w="107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48.5 months</w:t>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drawing>
          <wp:inline distT="0" distB="0" distL="0" distR="0">
            <wp:extent cx="2009775" cy="1181100"/>
            <wp:effectExtent l="0" t="0" r="0" b="0"/>
            <wp:docPr id="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 descr=""/>
                    <pic:cNvPicPr>
                      <a:picLocks noChangeAspect="1" noChangeArrowheads="1"/>
                    </pic:cNvPicPr>
                  </pic:nvPicPr>
                  <pic:blipFill>
                    <a:blip r:embed="rId4"/>
                    <a:stretch>
                      <a:fillRect/>
                    </a:stretch>
                  </pic:blipFill>
                  <pic:spPr bwMode="auto">
                    <a:xfrm>
                      <a:off x="0" y="0"/>
                      <a:ext cx="2009775" cy="1181100"/>
                    </a:xfrm>
                    <a:prstGeom prst="rect">
                      <a:avLst/>
                    </a:prstGeom>
                  </pic:spPr>
                </pic:pic>
              </a:graphicData>
            </a:graphic>
          </wp:inline>
        </w:drawing>
      </w:r>
      <w:r>
        <w:rPr>
          <w:color w:val="000000"/>
        </w:rPr>
        <w:t xml:space="preserve"> </w:t>
      </w:r>
    </w:p>
    <w:tbl>
      <w:tblPr>
        <w:tblW w:w="6481" w:type="dxa"/>
        <w:jc w:val="left"/>
        <w:tblInd w:w="0" w:type="dxa"/>
        <w:tblLayout w:type="fixed"/>
        <w:tblCellMar>
          <w:top w:w="28" w:type="dxa"/>
          <w:left w:w="28" w:type="dxa"/>
          <w:bottom w:w="28" w:type="dxa"/>
          <w:right w:w="28" w:type="dxa"/>
        </w:tblCellMar>
      </w:tblPr>
      <w:tblGrid>
        <w:gridCol w:w="518"/>
        <w:gridCol w:w="242"/>
        <w:gridCol w:w="242"/>
        <w:gridCol w:w="370"/>
        <w:gridCol w:w="370"/>
        <w:gridCol w:w="371"/>
        <w:gridCol w:w="1591"/>
        <w:gridCol w:w="514"/>
        <w:gridCol w:w="514"/>
        <w:gridCol w:w="516"/>
        <w:gridCol w:w="359"/>
        <w:gridCol w:w="359"/>
        <w:gridCol w:w="361"/>
        <w:gridCol w:w="154"/>
      </w:tblGrid>
      <w:tr>
        <w:trPr/>
        <w:tc>
          <w:tcPr>
            <w:tcW w:w="51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8" w:type="dxa"/>
            <w:gridSpan w:val="10"/>
            <w:tcBorders>
              <w:right w:val="single" w:sz="8" w:space="0" w:color="FFFFFF"/>
            </w:tcBorders>
            <w:tcMar>
              <w:top w:w="0" w:type="dxa"/>
              <w:left w:w="0" w:type="dxa"/>
              <w:bottom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Unsecured &amp; Secured Debt</w:t>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Debt</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Principal</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Outstanding</w:t>
            </w:r>
          </w:p>
        </w:tc>
        <w:tc>
          <w:tcPr>
            <w:tcW w:w="1591" w:type="dxa"/>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 xml:space="preserve">Weighted Average </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Interest Rate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Weighted Average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Maturity</w:t>
            </w:r>
          </w:p>
        </w:tc>
        <w:tc>
          <w:tcPr>
            <w:tcW w:w="1233" w:type="dxa"/>
            <w:gridSpan w:val="4"/>
            <w:tcBorders/>
          </w:tcPr>
          <w:p>
            <w:pPr>
              <w:pStyle w:val="TableContents"/>
              <w:bidi w:val="0"/>
              <w:spacing w:before="0" w:after="283"/>
              <w:jc w:val="left"/>
              <w:rPr>
                <w:sz w:val="4"/>
                <w:szCs w:val="4"/>
              </w:rPr>
            </w:pPr>
            <w:r>
              <w:rPr>
                <w:sz w:val="4"/>
                <w:szCs w:val="4"/>
              </w:rPr>
            </w:r>
          </w:p>
        </w:tc>
      </w:tr>
      <w:tr>
        <w:trPr/>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Unsecured</w:t>
            </w:r>
          </w:p>
        </w:tc>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$2,086,258</w:t>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5.63%</w:t>
            </w:r>
          </w:p>
        </w:tc>
        <w:tc>
          <w:tcPr>
            <w:tcW w:w="1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50.2 months</w:t>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187,899 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 months</w:t>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11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$2,274,157</w:t>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5.51%</w:t>
            </w:r>
          </w:p>
        </w:tc>
        <w:tc>
          <w:tcPr>
            <w:tcW w:w="107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48.5 months</w:t>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drawing>
          <wp:inline distT="0" distB="0" distL="0" distR="0">
            <wp:extent cx="2009775" cy="1181100"/>
            <wp:effectExtent l="0" t="0" r="0" b="0"/>
            <wp:docPr id="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descr=""/>
                    <pic:cNvPicPr>
                      <a:picLocks noChangeAspect="1" noChangeArrowheads="1"/>
                    </pic:cNvPicPr>
                  </pic:nvPicPr>
                  <pic:blipFill>
                    <a:blip r:embed="rId5"/>
                    <a:stretch>
                      <a:fillRect/>
                    </a:stretch>
                  </pic:blipFill>
                  <pic:spPr bwMode="auto">
                    <a:xfrm>
                      <a:off x="0" y="0"/>
                      <a:ext cx="2009775" cy="1181100"/>
                    </a:xfrm>
                    <a:prstGeom prst="rect">
                      <a:avLst/>
                    </a:prstGeom>
                  </pic:spPr>
                </pic:pic>
              </a:graphicData>
            </a:graphic>
          </wp:inline>
        </w:drawing>
      </w:r>
    </w:p>
    <w:tbl>
      <w:tblPr>
        <w:tblW w:w="9843" w:type="dxa"/>
        <w:jc w:val="left"/>
        <w:tblInd w:w="0" w:type="dxa"/>
        <w:tblLayout w:type="fixed"/>
        <w:tblCellMar>
          <w:top w:w="28" w:type="dxa"/>
          <w:left w:w="28" w:type="dxa"/>
          <w:bottom w:w="28" w:type="dxa"/>
          <w:right w:w="28" w:type="dxa"/>
        </w:tblCellMar>
      </w:tblPr>
      <w:tblGrid>
        <w:gridCol w:w="293"/>
        <w:gridCol w:w="258"/>
        <w:gridCol w:w="259"/>
        <w:gridCol w:w="470"/>
        <w:gridCol w:w="1803"/>
        <w:gridCol w:w="262"/>
        <w:gridCol w:w="451"/>
        <w:gridCol w:w="2042"/>
        <w:gridCol w:w="251"/>
        <w:gridCol w:w="1606"/>
        <w:gridCol w:w="414"/>
        <w:gridCol w:w="414"/>
        <w:gridCol w:w="416"/>
        <w:gridCol w:w="247"/>
        <w:gridCol w:w="247"/>
        <w:gridCol w:w="256"/>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39" w:type="dxa"/>
            <w:gridSpan w:val="1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Debt Maturities </w:t>
            </w:r>
            <w:r>
              <w:rPr>
                <w:rFonts w:ascii="Arial;sans-serif" w:hAnsi="Arial;sans-serif"/>
                <w:b/>
                <w:color w:val="000000"/>
                <w:sz w:val="12"/>
              </w:rPr>
              <w:t xml:space="preserve">(2) </w:t>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color w:val="000000"/>
                <w:sz w:val="16"/>
              </w:rPr>
            </w:pPr>
            <w:r>
              <w:rPr>
                <w:rFonts w:ascii="Arial;sans-serif" w:hAnsi="Arial;sans-serif"/>
                <w:b/>
                <w:color w:val="000000"/>
                <w:sz w:val="16"/>
              </w:rPr>
              <w:t xml:space="preserve">Maturity </w:t>
            </w:r>
          </w:p>
          <w:p>
            <w:pPr>
              <w:pStyle w:val="TableContents"/>
              <w:bidi w:val="0"/>
              <w:spacing w:lineRule="auto" w:line="240" w:before="60" w:after="283"/>
              <w:jc w:val="left"/>
              <w:rPr>
                <w:rFonts w:ascii="Arial;sans-serif" w:hAnsi="Arial;sans-serif"/>
                <w:b/>
                <w:color w:val="000000"/>
                <w:sz w:val="16"/>
              </w:rPr>
            </w:pPr>
            <w:r>
              <w:rPr>
                <w:rFonts w:ascii="Arial;sans-serif" w:hAnsi="Arial;sans-serif"/>
                <w:b/>
                <w:color w:val="000000"/>
                <w:sz w:val="16"/>
              </w:rPr>
              <w:t xml:space="preserve">Year </w:t>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Secured Principal Outstanding</w:t>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Unsecured Principal Outstanding</w:t>
            </w:r>
          </w:p>
        </w:tc>
        <w:tc>
          <w:tcPr>
            <w:tcW w:w="1606" w:type="dxa"/>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Weighted Average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 xml:space="preserve">Interest Rate </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 xml:space="preserve">Percentage of </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 xml:space="preserve">Total Debt </w:t>
            </w:r>
          </w:p>
        </w:tc>
        <w:tc>
          <w:tcPr>
            <w:tcW w:w="904" w:type="dxa"/>
            <w:gridSpan w:val="4"/>
            <w:tcBorders/>
          </w:tcPr>
          <w:p>
            <w:pPr>
              <w:pStyle w:val="TableContents"/>
              <w:bidi w:val="0"/>
              <w:spacing w:before="0" w:after="283"/>
              <w:jc w:val="left"/>
              <w:rPr>
                <w:sz w:val="4"/>
                <w:szCs w:val="4"/>
              </w:rPr>
            </w:pPr>
            <w:r>
              <w:rPr>
                <w:sz w:val="4"/>
                <w:szCs w:val="4"/>
              </w:rPr>
            </w:r>
          </w:p>
        </w:tc>
      </w:tr>
      <w:tr>
        <w:trPr/>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227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w:t>
            </w:r>
          </w:p>
        </w:tc>
        <w:tc>
          <w:tcPr>
            <w:tcW w:w="2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2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227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187,899 </w:t>
            </w:r>
          </w:p>
        </w:tc>
        <w:tc>
          <w:tcPr>
            <w:tcW w:w="2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612,258 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6.29%</w:t>
            </w:r>
          </w:p>
        </w:tc>
        <w:tc>
          <w:tcPr>
            <w:tcW w:w="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35.2%</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2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7.11%</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227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374,000 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4.06%</w:t>
            </w:r>
          </w:p>
        </w:tc>
        <w:tc>
          <w:tcPr>
            <w:tcW w:w="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w:t>
            </w:r>
          </w:p>
        </w:tc>
        <w:tc>
          <w:tcPr>
            <w:tcW w:w="2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2032</w:t>
            </w:r>
          </w:p>
        </w:tc>
        <w:tc>
          <w:tcPr>
            <w:tcW w:w="227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2.78%</w:t>
            </w:r>
          </w:p>
        </w:tc>
        <w:tc>
          <w:tcPr>
            <w:tcW w:w="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2033</w:t>
            </w:r>
          </w:p>
        </w:tc>
        <w:tc>
          <w:tcPr>
            <w:tcW w:w="2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5.73%</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470"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03"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187,899</w:t>
            </w:r>
            <w:r>
              <w:rPr>
                <w:color w:val="000000"/>
              </w:rPr>
              <w:t> </w:t>
            </w:r>
          </w:p>
        </w:tc>
        <w:tc>
          <w:tcPr>
            <w:tcW w:w="262"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42"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2,086,258</w:t>
            </w:r>
            <w:r>
              <w:rPr>
                <w:color w:val="000000"/>
              </w:rPr>
              <w:t> </w:t>
            </w:r>
          </w:p>
        </w:tc>
        <w:tc>
          <w:tcPr>
            <w:tcW w:w="25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5.51%</w:t>
            </w:r>
          </w:p>
        </w:tc>
        <w:tc>
          <w:tcPr>
            <w:tcW w:w="750"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100.00%</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drawing>
          <wp:inline distT="0" distB="0" distL="0" distR="0">
            <wp:extent cx="4381500" cy="1914525"/>
            <wp:effectExtent l="0" t="0" r="0" b="0"/>
            <wp:docPr id="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 descr=""/>
                    <pic:cNvPicPr>
                      <a:picLocks noChangeAspect="1" noChangeArrowheads="1"/>
                    </pic:cNvPicPr>
                  </pic:nvPicPr>
                  <pic:blipFill>
                    <a:blip r:embed="rId6"/>
                    <a:stretch>
                      <a:fillRect/>
                    </a:stretch>
                  </pic:blipFill>
                  <pic:spPr bwMode="auto">
                    <a:xfrm>
                      <a:off x="0" y="0"/>
                      <a:ext cx="4381500" cy="19145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37"/>
        <w:gridCol w:w="2866"/>
        <w:gridCol w:w="40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During the three months ended March 31, 2026, the five interest rate swap agreements associated with the $325 Million Unsecured 2024 Term Loan expired. As of March 31, 2026, the Company's floating rate debt balance was comprised of the $325 million term loan and the $74 million balance on the line of credit.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 loans that provide extension options conditional upon proper notice to the loan's administrative agent and the payment of an extension fee, the final extended maturity date is reflected.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8"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Detail</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98"/>
        <w:gridCol w:w="1289"/>
        <w:gridCol w:w="1297"/>
        <w:gridCol w:w="109"/>
        <w:gridCol w:w="326"/>
        <w:gridCol w:w="326"/>
        <w:gridCol w:w="327"/>
        <w:gridCol w:w="380"/>
        <w:gridCol w:w="380"/>
        <w:gridCol w:w="381"/>
        <w:gridCol w:w="109"/>
        <w:gridCol w:w="224"/>
        <w:gridCol w:w="224"/>
        <w:gridCol w:w="228"/>
        <w:gridCol w:w="208"/>
        <w:gridCol w:w="944"/>
        <w:gridCol w:w="115"/>
        <w:gridCol w:w="275"/>
        <w:gridCol w:w="1243"/>
        <w:gridCol w:w="222"/>
      </w:tblGrid>
      <w:tr>
        <w:trPr/>
        <w:tc>
          <w:tcPr>
            <w:tcW w:w="159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Facility</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Stated Rate </w:t>
            </w:r>
            <w:r>
              <w:rPr>
                <w:rFonts w:ascii="Arial;sans-serif" w:hAnsi="Arial;sans-serif"/>
                <w:b/>
                <w:color w:val="000000"/>
                <w:sz w:val="10"/>
              </w:rPr>
              <w:t>(1)</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Effective Rate </w:t>
            </w:r>
            <w:r>
              <w:rPr>
                <w:rFonts w:ascii="Arial;sans-serif" w:hAnsi="Arial;sans-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Maturity Date </w:t>
            </w:r>
            <w:r>
              <w:rPr>
                <w:rFonts w:ascii="Arial;sans-serif" w:hAnsi="Arial;sans-serif"/>
                <w:b/>
                <w:color w:val="000000"/>
                <w:sz w:val="10"/>
              </w:rPr>
              <w:t>(3)</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Principal Outstanding </w:t>
            </w:r>
            <w:r>
              <w:rPr>
                <w:rFonts w:ascii="Arial;sans-serif" w:hAnsi="Arial;sans-serif"/>
                <w:b/>
                <w:color w:val="000000"/>
                <w:sz w:val="10"/>
              </w:rPr>
              <w:t>(4)</w:t>
            </w:r>
          </w:p>
        </w:tc>
      </w:tr>
      <w:tr>
        <w:trPr/>
        <w:tc>
          <w:tcPr>
            <w:tcW w:w="4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Secured Debt</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Fixed-Rate Mortgage (1180 Peachtree)</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w:t>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10/1/2028</w:t>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187,899 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Secured Subtotal / Weighted Average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4.10%</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187,899</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Unsecured Debt</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$325 Million Unsecured 2024 Term Loan </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SOFR + 1.30%</w:t>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4.93%</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Floating</w:t>
            </w:r>
          </w:p>
        </w:tc>
        <w:tc>
          <w:tcPr>
            <w:tcW w:w="12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1/29/2028</w:t>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325,000 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$600 Million Unsecured 2023 Senior Notes </w:t>
            </w:r>
            <w:r>
              <w:rPr>
                <w:rFonts w:ascii="Arial;sans-serif" w:hAnsi="Arial;sans-serif"/>
                <w:b w:val="false"/>
                <w:color w:val="000000"/>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7/20/2028</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287,258 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$400 Million Unsecured 2024 Senior Notes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6.88%</w:t>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7.11%</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7/15/2029</w:t>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$600 Million Unsecured Line of Credit </w:t>
            </w:r>
            <w:r>
              <w:rPr>
                <w:rFonts w:ascii="Arial;sans-serif" w:hAnsi="Arial;sans-serif"/>
                <w:b w:val="false"/>
                <w:color w:val="000000"/>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SOFR + 1.05%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Floating</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6/30/2030</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$300 Million Unsecured 2020 Senior Notes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w:t>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8/15/2030</w:t>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$300 Million Unsecured 2021 Senior Notes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2.78%</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4/1/2032</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$400 Million Unsecured 2025 Senior Notes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5.63%</w:t>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5.73%</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1/15/2033</w:t>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Unsecured Subtotal / Weighted Average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5.63%</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2,086,258</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Debt - Principal Amount Outstanding / Weighted Average Interest Rate</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5.51%</w:t>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2,274,157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GAAP Adjustments - Discounts and 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(21,806)</w:t>
            </w:r>
          </w:p>
        </w:tc>
        <w:tc>
          <w:tcPr>
            <w:tcW w:w="222"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 GAAP</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2,252,351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Cash, cash equivalents, and restricted cash and escrows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6,335</w:t>
            </w:r>
            <w:r>
              <w:rPr>
                <w:color w:val="000000"/>
              </w:rPr>
              <w:t>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Debt - Principal Amount Outstanding</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2,267,822</w:t>
            </w:r>
            <w:r>
              <w:rPr>
                <w:color w:val="000000"/>
              </w:rPr>
              <w:t> </w:t>
            </w:r>
          </w:p>
        </w:tc>
        <w:tc>
          <w:tcPr>
            <w:tcW w:w="222"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5"/>
        <w:gridCol w:w="2855"/>
        <w:gridCol w:w="4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Stated rates for the unsecured term loan and the unsecured line of credit are comprised of the relevant SOFR selection and an additional spread based on Piedmont's current credit rating, as defined in the respective loan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Effective rates reflect the consideration of settled or in-place interest rate swap agreements and issuance discounts, where applicable.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 loans that provide extension options conditional upon proper notice to the loan's administrative agent and the payment of an extension fee, the final extended maturity date is reflected.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 outstanding debt at period end was interest-only with the exception of the amortizing fixed-rate mortgage.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The $325 million unsecured term loan has a stated variable interest rate. The loan has an initial maturity date of January 29, 2027 with two six-month extension options for a final maturity date of January 29, 2028, provided Piedmont is not then in default and upon payment of extension fees.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Piedmont repurchased a portion of its outstanding $600 Million Unsecured 2023 Senior Notes during 2025, repurchasing approximately $67.5 million and $245.2 million during the second and fourth quarter of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 xml:space="preserve">Piedmont may select from multiple interest rate options with each draw under the revolving credit facility, including the prime rate and various SOFR selections. The facility has an initial maturity date of June 30, 2028 with two one-year extension options for a final maturity date of June 30, 2030, provided Piedmont is not then in default and upon payment of extension fees.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9"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Covenants &amp; Ratios for Debt Holders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30" w:type="dxa"/>
        <w:jc w:val="left"/>
        <w:tblInd w:w="0" w:type="dxa"/>
        <w:tblLayout w:type="fixed"/>
        <w:tblCellMar>
          <w:top w:w="28" w:type="dxa"/>
          <w:left w:w="28" w:type="dxa"/>
          <w:bottom w:w="28" w:type="dxa"/>
          <w:right w:w="28" w:type="dxa"/>
        </w:tblCellMar>
      </w:tblPr>
      <w:tblGrid>
        <w:gridCol w:w="1358"/>
        <w:gridCol w:w="1192"/>
        <w:gridCol w:w="1199"/>
        <w:gridCol w:w="275"/>
        <w:gridCol w:w="275"/>
        <w:gridCol w:w="276"/>
        <w:gridCol w:w="274"/>
        <w:gridCol w:w="274"/>
        <w:gridCol w:w="276"/>
        <w:gridCol w:w="304"/>
        <w:gridCol w:w="304"/>
        <w:gridCol w:w="306"/>
        <w:gridCol w:w="274"/>
        <w:gridCol w:w="274"/>
        <w:gridCol w:w="276"/>
        <w:gridCol w:w="274"/>
        <w:gridCol w:w="274"/>
        <w:gridCol w:w="276"/>
        <w:gridCol w:w="253"/>
        <w:gridCol w:w="253"/>
        <w:gridCol w:w="363"/>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15"/>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374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Bank Debt Covenant Compliance</w:t>
            </w:r>
            <w:r>
              <w:rPr>
                <w:color w:val="000000"/>
              </w:rPr>
              <w:t xml:space="preserve"> </w:t>
            </w:r>
            <w:r>
              <w:rPr>
                <w:rFonts w:ascii="Arial;sans-serif" w:hAnsi="Arial;sans-serif"/>
                <w:b/>
                <w:color w:val="000000"/>
                <w:sz w:val="10"/>
              </w:rPr>
              <w:t>(1)</w:t>
            </w:r>
          </w:p>
        </w:tc>
        <w:tc>
          <w:tcPr>
            <w:tcW w:w="82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Required</w:t>
            </w:r>
          </w:p>
        </w:tc>
        <w:tc>
          <w:tcPr>
            <w:tcW w:w="82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91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82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82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869" w:type="dxa"/>
            <w:gridSpan w:val="3"/>
            <w:tcBorders>
              <w:top w:val="single" w:sz="8" w:space="0" w:color="000000"/>
              <w:right w:val="single" w:sz="8" w:space="0" w:color="000000"/>
            </w:tcBorders>
            <w:shd w:fill="F8F4F1"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r>
      <w:tr>
        <w:trPr/>
        <w:tc>
          <w:tcPr>
            <w:tcW w:w="374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Maximum leverage ratio</w:t>
            </w:r>
          </w:p>
        </w:tc>
        <w:tc>
          <w:tcPr>
            <w:tcW w:w="82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0.60</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0.46</w:t>
            </w:r>
          </w:p>
        </w:tc>
        <w:tc>
          <w:tcPr>
            <w:tcW w:w="9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0.46</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0.48</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0.47</w:t>
            </w:r>
          </w:p>
        </w:tc>
        <w:tc>
          <w:tcPr>
            <w:tcW w:w="869"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0.48</w:t>
            </w:r>
          </w:p>
        </w:tc>
      </w:tr>
      <w:tr>
        <w:trPr/>
        <w:tc>
          <w:tcPr>
            <w:tcW w:w="374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Minimum fixed charge coverage ratio</w:t>
            </w:r>
            <w:r>
              <w:rPr>
                <w:color w:val="000000"/>
              </w:rPr>
              <w:t xml:space="preserve"> </w:t>
            </w:r>
            <w:r>
              <w:rPr>
                <w:rFonts w:ascii="Arial;sans-serif" w:hAnsi="Arial;sans-serif"/>
                <w:b w:val="false"/>
                <w:color w:val="000000"/>
                <w:sz w:val="10"/>
              </w:rPr>
              <w:t>(2)</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2.16</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2.15</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2.15</w:t>
            </w:r>
          </w:p>
        </w:tc>
        <w:tc>
          <w:tcPr>
            <w:tcW w:w="86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2.21</w:t>
            </w:r>
          </w:p>
        </w:tc>
      </w:tr>
      <w:tr>
        <w:trPr/>
        <w:tc>
          <w:tcPr>
            <w:tcW w:w="374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Maximum secured indebtedness ratio</w:t>
            </w:r>
          </w:p>
        </w:tc>
        <w:tc>
          <w:tcPr>
            <w:tcW w:w="82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0.40</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c>
          <w:tcPr>
            <w:tcW w:w="9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c>
          <w:tcPr>
            <w:tcW w:w="869"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r>
      <w:tr>
        <w:trPr/>
        <w:tc>
          <w:tcPr>
            <w:tcW w:w="374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Minimum unencumbered leverage ratio</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2.21</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2.18</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2.13</w:t>
            </w:r>
          </w:p>
        </w:tc>
        <w:tc>
          <w:tcPr>
            <w:tcW w:w="86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w:t>
            </w:r>
          </w:p>
        </w:tc>
      </w:tr>
      <w:tr>
        <w:trPr/>
        <w:tc>
          <w:tcPr>
            <w:tcW w:w="3749" w:type="dxa"/>
            <w:gridSpan w:val="3"/>
            <w:tcBorders>
              <w:left w:val="single" w:sz="8" w:space="0" w:color="000000"/>
              <w:bottom w:val="single" w:sz="8" w:space="0" w:color="000000"/>
            </w:tcBorders>
            <w:shd w:fill="F8F4F1" w:val="clear"/>
            <w:tcMar>
              <w:top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Minimum unencumbered interest coverage ratio </w:t>
            </w:r>
            <w:r>
              <w:rPr>
                <w:rFonts w:ascii="Arial;sans-serif" w:hAnsi="Arial;sans-serif"/>
                <w:b w:val="false"/>
                <w:color w:val="000000"/>
                <w:sz w:val="10"/>
              </w:rPr>
              <w:t>(3)</w:t>
            </w:r>
          </w:p>
        </w:tc>
        <w:tc>
          <w:tcPr>
            <w:tcW w:w="826"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w:t>
            </w:r>
          </w:p>
        </w:tc>
        <w:tc>
          <w:tcPr>
            <w:tcW w:w="824"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w:t>
            </w:r>
          </w:p>
        </w:tc>
        <w:tc>
          <w:tcPr>
            <w:tcW w:w="914"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w:t>
            </w:r>
          </w:p>
        </w:tc>
        <w:tc>
          <w:tcPr>
            <w:tcW w:w="824"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w:t>
            </w:r>
          </w:p>
        </w:tc>
        <w:tc>
          <w:tcPr>
            <w:tcW w:w="824"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2.17</w:t>
            </w:r>
          </w:p>
        </w:tc>
        <w:tc>
          <w:tcPr>
            <w:tcW w:w="869" w:type="dxa"/>
            <w:gridSpan w:val="3"/>
            <w:tcBorders>
              <w:bottom w:val="single" w:sz="8" w:space="0" w:color="000000"/>
              <w:right w:val="single" w:sz="8" w:space="0" w:color="000000"/>
            </w:tcBorders>
            <w:shd w:fill="F8F4F1"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w:t>
            </w:r>
          </w:p>
        </w:tc>
      </w:tr>
    </w:tbl>
    <w:p>
      <w:pPr>
        <w:pStyle w:val="TextBody"/>
        <w:bidi w:val="0"/>
        <w:spacing w:before="0" w:after="0"/>
        <w:jc w:val="left"/>
        <w:rPr/>
      </w:pPr>
      <w:r>
        <w:rPr/>
      </w:r>
    </w:p>
    <w:p>
      <w:pPr>
        <w:pStyle w:val="TextBody"/>
        <w:bidi w:val="0"/>
        <w:spacing w:before="0" w:after="0"/>
        <w:jc w:val="left"/>
        <w:rPr/>
      </w:pPr>
      <w:r>
        <w:rPr/>
      </w:r>
    </w:p>
    <w:tbl>
      <w:tblPr>
        <w:tblW w:w="9249" w:type="dxa"/>
        <w:jc w:val="left"/>
        <w:tblInd w:w="0" w:type="dxa"/>
        <w:tblLayout w:type="fixed"/>
        <w:tblCellMar>
          <w:top w:w="28" w:type="dxa"/>
          <w:left w:w="28" w:type="dxa"/>
          <w:bottom w:w="28" w:type="dxa"/>
          <w:right w:w="28" w:type="dxa"/>
        </w:tblCellMar>
      </w:tblPr>
      <w:tblGrid>
        <w:gridCol w:w="1342"/>
        <w:gridCol w:w="1178"/>
        <w:gridCol w:w="1185"/>
        <w:gridCol w:w="429"/>
        <w:gridCol w:w="429"/>
        <w:gridCol w:w="431"/>
        <w:gridCol w:w="274"/>
        <w:gridCol w:w="274"/>
        <w:gridCol w:w="276"/>
        <w:gridCol w:w="304"/>
        <w:gridCol w:w="304"/>
        <w:gridCol w:w="306"/>
        <w:gridCol w:w="274"/>
        <w:gridCol w:w="274"/>
        <w:gridCol w:w="276"/>
        <w:gridCol w:w="274"/>
        <w:gridCol w:w="274"/>
        <w:gridCol w:w="276"/>
        <w:gridCol w:w="253"/>
        <w:gridCol w:w="253"/>
        <w:gridCol w:w="363"/>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15"/>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370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Bond Covenant Compliance</w:t>
            </w:r>
            <w:r>
              <w:rPr>
                <w:color w:val="000000"/>
              </w:rPr>
              <w:t xml:space="preserve"> </w:t>
            </w:r>
            <w:r>
              <w:rPr>
                <w:rFonts w:ascii="Arial;sans-serif" w:hAnsi="Arial;sans-serif"/>
                <w:b/>
                <w:color w:val="000000"/>
                <w:sz w:val="10"/>
              </w:rPr>
              <w:t>(4)</w:t>
            </w:r>
          </w:p>
        </w:tc>
        <w:tc>
          <w:tcPr>
            <w:tcW w:w="12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Required</w:t>
            </w:r>
          </w:p>
        </w:tc>
        <w:tc>
          <w:tcPr>
            <w:tcW w:w="82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91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82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82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869" w:type="dxa"/>
            <w:gridSpan w:val="3"/>
            <w:tcBorders>
              <w:top w:val="single" w:sz="8" w:space="0" w:color="000000"/>
              <w:right w:val="single" w:sz="8" w:space="0" w:color="000000"/>
            </w:tcBorders>
            <w:shd w:fill="F8F4F1"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r>
      <w:tr>
        <w:trPr/>
        <w:tc>
          <w:tcPr>
            <w:tcW w:w="370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to total assets</w:t>
            </w:r>
          </w:p>
        </w:tc>
        <w:tc>
          <w:tcPr>
            <w:tcW w:w="12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 or less</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47.0%</w:t>
            </w:r>
          </w:p>
        </w:tc>
        <w:tc>
          <w:tcPr>
            <w:tcW w:w="9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47.0%</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46.5%</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46.8%</w:t>
            </w:r>
          </w:p>
        </w:tc>
        <w:tc>
          <w:tcPr>
            <w:tcW w:w="869"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46.8%</w:t>
            </w:r>
          </w:p>
        </w:tc>
      </w:tr>
      <w:tr>
        <w:trPr/>
        <w:tc>
          <w:tcPr>
            <w:tcW w:w="370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debt to total assets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 or less</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86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370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Ratio of consolidated EBITDA to interest expense</w:t>
            </w:r>
          </w:p>
        </w:tc>
        <w:tc>
          <w:tcPr>
            <w:tcW w:w="12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or greater</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2.50</w:t>
            </w:r>
          </w:p>
        </w:tc>
        <w:tc>
          <w:tcPr>
            <w:tcW w:w="9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2.51</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2.53</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2.53</w:t>
            </w:r>
          </w:p>
        </w:tc>
        <w:tc>
          <w:tcPr>
            <w:tcW w:w="869"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w:t>
            </w:r>
          </w:p>
        </w:tc>
      </w:tr>
      <w:tr>
        <w:trPr/>
        <w:tc>
          <w:tcPr>
            <w:tcW w:w="370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Unencumbered assets to unsecured debt</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or greater</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213%</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w:t>
            </w:r>
          </w:p>
        </w:tc>
        <w:tc>
          <w:tcPr>
            <w:tcW w:w="86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w:t>
            </w:r>
          </w:p>
        </w:tc>
      </w:tr>
      <w:tr>
        <w:trPr/>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59" w:type="dxa"/>
        <w:jc w:val="left"/>
        <w:tblInd w:w="0" w:type="dxa"/>
        <w:tblLayout w:type="fixed"/>
        <w:tblCellMar>
          <w:top w:w="28" w:type="dxa"/>
          <w:left w:w="28" w:type="dxa"/>
          <w:bottom w:w="28" w:type="dxa"/>
          <w:right w:w="28" w:type="dxa"/>
        </w:tblCellMar>
      </w:tblPr>
      <w:tblGrid>
        <w:gridCol w:w="1502"/>
        <w:gridCol w:w="1321"/>
        <w:gridCol w:w="1331"/>
        <w:gridCol w:w="419"/>
        <w:gridCol w:w="419"/>
        <w:gridCol w:w="421"/>
        <w:gridCol w:w="524"/>
        <w:gridCol w:w="524"/>
        <w:gridCol w:w="526"/>
        <w:gridCol w:w="109"/>
        <w:gridCol w:w="109"/>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Debt Coverage Ratios for Debt Holders</w:t>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c>
          <w:tcPr>
            <w:tcW w:w="1574"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(trailing twelve months)</w:t>
            </w:r>
          </w:p>
        </w:tc>
        <w:tc>
          <w:tcPr>
            <w:tcW w:w="125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1574"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Average net principal amount of debt to Core EBITDA </w:t>
            </w:r>
            <w:r>
              <w:rPr>
                <w:rFonts w:ascii="Arial;sans-serif" w:hAnsi="Arial;sans-serif"/>
                <w:b w:val="false"/>
                <w:color w:val="000000"/>
                <w:sz w:val="10"/>
              </w:rPr>
              <w:t>(5)</w:t>
            </w:r>
          </w:p>
        </w:tc>
        <w:tc>
          <w:tcPr>
            <w:tcW w:w="125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 x</w:t>
            </w:r>
          </w:p>
        </w:tc>
        <w:tc>
          <w:tcPr>
            <w:tcW w:w="1574"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 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Fixed charge coverage ratio</w:t>
            </w:r>
            <w:r>
              <w:rPr>
                <w:color w:val="000000"/>
              </w:rPr>
              <w:t xml:space="preserve"> </w:t>
            </w:r>
            <w:r>
              <w:rPr>
                <w:rFonts w:ascii="Arial;sans-serif" w:hAnsi="Arial;sans-serif"/>
                <w:b w:val="false"/>
                <w:color w:val="000000"/>
                <w:sz w:val="10"/>
              </w:rPr>
              <w:t>(6)</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 x</w:t>
            </w:r>
          </w:p>
        </w:tc>
        <w:tc>
          <w:tcPr>
            <w:tcW w:w="1574"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 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left w:val="single" w:sz="8" w:space="0" w:color="000000"/>
              <w:bottom w:val="single" w:sz="8" w:space="0" w:color="000000"/>
            </w:tcBorders>
            <w:shd w:fill="F8F4F1" w:val="clear"/>
            <w:tcMar>
              <w:top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Interest coverage ratio </w:t>
            </w:r>
            <w:r>
              <w:rPr>
                <w:rFonts w:ascii="Arial;sans-serif" w:hAnsi="Arial;sans-serif"/>
                <w:b w:val="false"/>
                <w:color w:val="000000"/>
                <w:sz w:val="10"/>
              </w:rPr>
              <w:t>(7)</w:t>
            </w:r>
          </w:p>
        </w:tc>
        <w:tc>
          <w:tcPr>
            <w:tcW w:w="1259"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 x</w:t>
            </w:r>
          </w:p>
        </w:tc>
        <w:tc>
          <w:tcPr>
            <w:tcW w:w="1574" w:type="dxa"/>
            <w:gridSpan w:val="3"/>
            <w:tcBorders>
              <w:bottom w:val="single" w:sz="8" w:space="0" w:color="000000"/>
              <w:right w:val="single" w:sz="8" w:space="0" w:color="000000"/>
            </w:tcBorders>
            <w:shd w:fill="F8F4F1"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 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82"/>
        <w:gridCol w:w="2845"/>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Bank debt covenant compliance calculations relate to the most restrictive of the specific calculations detailed in the relevant credit agreements. Please refer to such agreements for relevant defined terms.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Defined as EBITDA for the trailing four quarters (including the Company's share of EBITDA from unconsolidated interests), excluding one-time or non-recurring gains or losses, less a $0.15 per square foot capital reserve, and excluding the impact of straight line rent leveling adjustments and amortization of intangibles divided by the Company's share of fixed charges, as more particularly described in the credit agreements. This definition of fixed charge coverage ratio as prescribed by our credit agreements is different from the fixed charge coverage ratio definition employed elsewhere within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Defined as net operating income for the trailing four quarters for unencumbered assets (including the Company's share of net operating income from partially-owned entities and subsidiaries that are deemed to be unencumbered) less a $0.15 per square foot capital reserve divided by the Company's share of interest expense associated with unsecured financings only, as more particularly described in the credit agreements.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Bond covenant compliance calculations relate to specific calculations prescribed in the relevant debt agreements. Please refer to the Indenture and the First Supplemental Indenture dated March 6, 2014, the Second Supplemental Indenture dated August 12, 2020, the Third Supplemental Indenture dated September 20, 2021, the Fourth Supplemental Indenture dated July 20, 2023, the Fifth Supplemental Indenture dated June 25, 2024, and the Sixth Supplemental Indenture dated November 20, 2025 for defined terms and detailed information about the calculations</w:t>
            </w:r>
            <w:r>
              <w:rPr>
                <w:rFonts w:ascii="Arial;sans-serif" w:hAnsi="Arial;sans-serif"/>
                <w:b/>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using the sum of Core EBITDA for the trailing twelve month period and the average principal balance of debt outstanding for the trailing twelve months less the average balance of cash and restricted cash and escrows during the trailing twelve month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as Core EBITDA divided by the sum of interest expense, principal amortization, capitalized interest and preferred dividends (none during periods presented).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The Company recorded principal amortization of $0.9 million for each of the quarters ended March 31, 2026, December 31, 2025, September 30, 2025, June 30, 2025, and March 31, 2025.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 Company recorded capitalized interest of $1.1 million for the quarter ended March 31, 2026, $1.6 million for the quarter ended December 31, 2025, $2.9 million for the quarter ended September 30, 2025, $3.2 million for the quarter ended June 30, 2025, and $3.3 million for the quarter ended March 31,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as Core EBITDA divided by the sum of interest expense and capitalized interest. The Company recorded capitalized interest of $1.1 million for the quarter ended March 31, 2026, $1.6 million for the quarter ended December 31, 2025, $2.9 million for the quarter ended September 30, 2025, $3.2 million for the quarter ended June 30, 2025, and $3.3 million for the quarter ended March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0"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Leased Percentage </w:t>
      </w:r>
    </w:p>
    <w:p>
      <w:pPr>
        <w:pStyle w:val="TextBody"/>
        <w:bidi w:val="0"/>
        <w:spacing w:lineRule="auto" w:line="288" w:before="0" w:after="0"/>
        <w:jc w:val="left"/>
        <w:rPr/>
      </w:pPr>
      <w:r>
        <w:rPr>
          <w:rFonts w:ascii="Arial;sans-serif" w:hAnsi="Arial;sans-serif"/>
          <w:b/>
          <w:i/>
          <w:color w:val="000000"/>
          <w:sz w:val="18"/>
        </w:rPr>
        <w:t>(in thousands)</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106"/>
        <w:gridCol w:w="1034"/>
        <w:gridCol w:w="1037"/>
        <w:gridCol w:w="430"/>
        <w:gridCol w:w="357"/>
        <w:gridCol w:w="359"/>
        <w:gridCol w:w="413"/>
        <w:gridCol w:w="374"/>
        <w:gridCol w:w="376"/>
        <w:gridCol w:w="240"/>
        <w:gridCol w:w="241"/>
        <w:gridCol w:w="416"/>
        <w:gridCol w:w="109"/>
        <w:gridCol w:w="109"/>
        <w:gridCol w:w="109"/>
        <w:gridCol w:w="430"/>
        <w:gridCol w:w="357"/>
        <w:gridCol w:w="359"/>
        <w:gridCol w:w="413"/>
        <w:gridCol w:w="374"/>
        <w:gridCol w:w="376"/>
        <w:gridCol w:w="240"/>
        <w:gridCol w:w="241"/>
        <w:gridCol w:w="416"/>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Leased</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Rentable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Percent</w:t>
            </w:r>
          </w:p>
          <w:p>
            <w:pPr>
              <w:pStyle w:val="TableContents"/>
              <w:bidi w:val="0"/>
              <w:spacing w:lineRule="auto" w:line="240" w:before="60" w:after="283"/>
              <w:jc w:val="center"/>
              <w:rPr/>
            </w:pPr>
            <w:r>
              <w:rPr>
                <w:rFonts w:ascii="Arial;sans-serif" w:hAnsi="Arial;sans-serif"/>
                <w:b/>
                <w:color w:val="000000"/>
                <w:sz w:val="16"/>
              </w:rPr>
              <w:t>Leased</w:t>
            </w:r>
            <w:r>
              <w:rPr>
                <w:color w:val="000000"/>
              </w:rPr>
              <w:t xml:space="preserve">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Leased</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Rentable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Percent</w:t>
            </w:r>
          </w:p>
          <w:p>
            <w:pPr>
              <w:pStyle w:val="TableContents"/>
              <w:bidi w:val="0"/>
              <w:spacing w:lineRule="auto" w:line="240" w:before="60" w:after="283"/>
              <w:jc w:val="center"/>
              <w:rPr/>
            </w:pPr>
            <w:r>
              <w:rPr>
                <w:rFonts w:ascii="Arial;sans-serif" w:hAnsi="Arial;sans-serif"/>
                <w:b/>
                <w:color w:val="000000"/>
                <w:sz w:val="16"/>
              </w:rPr>
              <w:t>Leased</w:t>
            </w:r>
            <w:r>
              <w:rPr>
                <w:color w:val="000000"/>
              </w:rPr>
              <w:t xml:space="preserve"> </w:t>
            </w:r>
            <w:r>
              <w:rPr>
                <w:rFonts w:ascii="Arial;sans-serif" w:hAnsi="Arial;sans-serif"/>
                <w:b/>
                <w:color w:val="000000"/>
                <w:sz w:val="10"/>
              </w:rPr>
              <w:t>(1)</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In-Service Leased - beginning of period</w:t>
            </w:r>
          </w:p>
        </w:tc>
        <w:tc>
          <w:tcPr>
            <w:tcW w:w="78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13,363</w:t>
            </w:r>
            <w:r>
              <w:rPr>
                <w:color w:val="000000"/>
              </w:rPr>
              <w:t> </w:t>
            </w:r>
          </w:p>
        </w:tc>
        <w:tc>
          <w:tcPr>
            <w:tcW w:w="35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14,921</w:t>
            </w:r>
            <w:r>
              <w:rPr>
                <w:color w:val="000000"/>
              </w:rPr>
              <w:t> </w:t>
            </w:r>
          </w:p>
        </w:tc>
        <w:tc>
          <w:tcPr>
            <w:tcW w:w="37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89.6</w:t>
            </w:r>
            <w:r>
              <w:rPr>
                <w:color w:val="000000"/>
              </w:rPr>
              <w:t> </w:t>
            </w:r>
          </w:p>
        </w:tc>
        <w:tc>
          <w:tcPr>
            <w:tcW w:w="41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13,538</w:t>
            </w:r>
            <w:r>
              <w:rPr>
                <w:color w:val="000000"/>
              </w:rPr>
              <w:t> </w:t>
            </w:r>
          </w:p>
        </w:tc>
        <w:tc>
          <w:tcPr>
            <w:tcW w:w="35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15,323</w:t>
            </w:r>
            <w:r>
              <w:rPr>
                <w:color w:val="000000"/>
              </w:rPr>
              <w:t> </w:t>
            </w:r>
          </w:p>
        </w:tc>
        <w:tc>
          <w:tcPr>
            <w:tcW w:w="37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w:t>
            </w:r>
            <w:r>
              <w:rPr>
                <w:color w:val="000000"/>
              </w:rPr>
              <w:t> </w:t>
            </w:r>
          </w:p>
        </w:tc>
        <w:tc>
          <w:tcPr>
            <w:tcW w:w="41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leasing executed during period</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Lease renewals signed during period</w:t>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New leases signed during period for currently occupied space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New leases signed during period for out of service space</w:t>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Leases expired during period and other</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Subtotal</w:t>
            </w:r>
          </w:p>
        </w:tc>
        <w:tc>
          <w:tcPr>
            <w:tcW w:w="78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13,323</w:t>
            </w:r>
            <w:r>
              <w:rPr>
                <w:color w:val="000000"/>
              </w:rPr>
              <w:t> </w:t>
            </w:r>
          </w:p>
        </w:tc>
        <w:tc>
          <w:tcPr>
            <w:tcW w:w="35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14,923</w:t>
            </w:r>
            <w:r>
              <w:rPr>
                <w:color w:val="000000"/>
              </w:rPr>
              <w:t> </w:t>
            </w:r>
          </w:p>
        </w:tc>
        <w:tc>
          <w:tcPr>
            <w:tcW w:w="37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89.3</w:t>
            </w:r>
            <w:r>
              <w:rPr>
                <w:color w:val="000000"/>
              </w:rPr>
              <w:t> </w:t>
            </w:r>
          </w:p>
        </w:tc>
        <w:tc>
          <w:tcPr>
            <w:tcW w:w="41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13,491</w:t>
            </w:r>
            <w:r>
              <w:rPr>
                <w:color w:val="000000"/>
              </w:rPr>
              <w:t> </w:t>
            </w:r>
          </w:p>
        </w:tc>
        <w:tc>
          <w:tcPr>
            <w:tcW w:w="35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15,346</w:t>
            </w:r>
            <w:r>
              <w:rPr>
                <w:color w:val="000000"/>
              </w:rPr>
              <w:t> </w:t>
            </w:r>
          </w:p>
        </w:tc>
        <w:tc>
          <w:tcPr>
            <w:tcW w:w="37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87.9</w:t>
            </w:r>
            <w:r>
              <w:rPr>
                <w:color w:val="000000"/>
              </w:rPr>
              <w:t> </w:t>
            </w:r>
          </w:p>
        </w:tc>
        <w:tc>
          <w:tcPr>
            <w:tcW w:w="41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Acquisitions / (dispositions) </w:t>
            </w:r>
            <w:r>
              <w:rPr>
                <w:rFonts w:ascii="Arial;sans-serif" w:hAnsi="Arial;sans-serif"/>
                <w:b w:val="false"/>
                <w:color w:val="000000"/>
                <w:sz w:val="10"/>
              </w:rPr>
              <w:t>(2)</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Assets placed in service / (taken out of service) </w:t>
            </w:r>
            <w:r>
              <w:rPr>
                <w:rFonts w:ascii="Arial;sans-serif" w:hAnsi="Arial;sans-serif"/>
                <w:b w:val="false"/>
                <w:color w:val="000000"/>
                <w:sz w:val="10"/>
              </w:rPr>
              <w:t>(3)</w:t>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In-Service Leased - end of period</w:t>
            </w:r>
          </w:p>
        </w:tc>
        <w:tc>
          <w:tcPr>
            <w:tcW w:w="7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13,323</w:t>
            </w:r>
            <w:r>
              <w:rPr>
                <w:color w:val="000000"/>
              </w:rPr>
              <w:t>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14,923</w:t>
            </w:r>
            <w:r>
              <w:rPr>
                <w:color w:val="000000"/>
              </w:rPr>
              <w:t>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89.3</w:t>
            </w:r>
            <w:r>
              <w:rPr>
                <w:color w:val="000000"/>
              </w:rPr>
              <w:t>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13,426</w:t>
            </w:r>
            <w:r>
              <w:rPr>
                <w:color w:val="000000"/>
              </w:rPr>
              <w:t>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15,241</w:t>
            </w:r>
            <w:r>
              <w:rPr>
                <w:color w:val="000000"/>
              </w:rPr>
              <w:t>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w:t>
            </w:r>
            <w:r>
              <w:rPr>
                <w:color w:val="000000"/>
              </w:rPr>
              <w:t>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075" w:type="dxa"/>
        <w:jc w:val="left"/>
        <w:tblInd w:w="0" w:type="dxa"/>
        <w:tblLayout w:type="fixed"/>
        <w:tblCellMar>
          <w:top w:w="28" w:type="dxa"/>
          <w:left w:w="28" w:type="dxa"/>
          <w:bottom w:w="28" w:type="dxa"/>
          <w:right w:w="28" w:type="dxa"/>
        </w:tblCellMar>
      </w:tblPr>
      <w:tblGrid>
        <w:gridCol w:w="124"/>
        <w:gridCol w:w="1528"/>
        <w:gridCol w:w="1528"/>
        <w:gridCol w:w="1533"/>
        <w:gridCol w:w="330"/>
        <w:gridCol w:w="331"/>
        <w:gridCol w:w="109"/>
        <w:gridCol w:w="330"/>
        <w:gridCol w:w="331"/>
        <w:gridCol w:w="109"/>
        <w:gridCol w:w="240"/>
        <w:gridCol w:w="241"/>
        <w:gridCol w:w="256"/>
        <w:gridCol w:w="109"/>
        <w:gridCol w:w="109"/>
        <w:gridCol w:w="109"/>
        <w:gridCol w:w="330"/>
        <w:gridCol w:w="331"/>
        <w:gridCol w:w="109"/>
        <w:gridCol w:w="330"/>
        <w:gridCol w:w="331"/>
        <w:gridCol w:w="109"/>
        <w:gridCol w:w="240"/>
        <w:gridCol w:w="241"/>
        <w:gridCol w:w="256"/>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8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Analysis</w:t>
            </w:r>
          </w:p>
        </w:tc>
        <w:tc>
          <w:tcPr>
            <w:tcW w:w="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8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60" w:after="283"/>
              <w:jc w:val="left"/>
              <w:rPr/>
            </w:pPr>
            <w:r>
              <w:rPr>
                <w:rFonts w:ascii="Arial;sans-serif" w:hAnsi="Arial;sans-serif"/>
                <w:b w:val="false"/>
                <w:color w:val="000000"/>
                <w:sz w:val="16"/>
              </w:rPr>
              <w:t xml:space="preserve">Less: Acquisitions and (dispositions) after March 31, 2025 </w:t>
            </w:r>
            <w:r>
              <w:rPr>
                <w:rFonts w:ascii="Arial;sans-serif" w:hAnsi="Arial;sans-serif"/>
                <w:b w:val="false"/>
                <w:color w:val="000000"/>
                <w:sz w:val="10"/>
              </w:rPr>
              <w:t>(2)</w:t>
            </w:r>
          </w:p>
        </w:tc>
        <w:tc>
          <w:tcPr>
            <w:tcW w:w="66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93.8 </w:t>
            </w:r>
          </w:p>
        </w:tc>
        <w:tc>
          <w:tcPr>
            <w:tcW w:w="25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right w:val="single" w:sz="8" w:space="0" w:color="000000"/>
            </w:tcBorders>
            <w:shd w:fill="F8F4F1"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8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60" w:after="283"/>
              <w:jc w:val="left"/>
              <w:rPr/>
            </w:pPr>
            <w:r>
              <w:rPr>
                <w:rFonts w:ascii="Arial;sans-serif" w:hAnsi="Arial;sans-serif"/>
                <w:b w:val="false"/>
                <w:color w:val="000000"/>
                <w:sz w:val="16"/>
              </w:rPr>
              <w:t xml:space="preserve">Less: Change in out of service assets after March 31, 2025 </w:t>
            </w:r>
            <w:r>
              <w:rPr>
                <w:rFonts w:ascii="Arial;sans-serif" w:hAnsi="Arial;sans-serif"/>
                <w:b w:val="false"/>
                <w:color w:val="000000"/>
                <w:sz w:val="10"/>
              </w:rPr>
              <w:t>(3)</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89" w:type="dxa"/>
            <w:gridSpan w:val="3"/>
            <w:tcBorders>
              <w:left w:val="single" w:sz="8" w:space="0" w:color="000000"/>
              <w:bottom w:val="single" w:sz="8" w:space="0" w:color="000000"/>
            </w:tcBorders>
            <w:shd w:fill="F8F4F1" w:val="clear"/>
            <w:tcMar>
              <w:top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Leased Percentage - end of period</w:t>
            </w:r>
          </w:p>
        </w:tc>
        <w:tc>
          <w:tcPr>
            <w:tcW w:w="66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13,323</w:t>
            </w:r>
            <w:r>
              <w:rPr>
                <w:color w:val="000000"/>
              </w:rPr>
              <w:t> </w:t>
            </w:r>
          </w:p>
        </w:tc>
        <w:tc>
          <w:tcPr>
            <w:tcW w:w="109"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14,923</w:t>
            </w:r>
            <w:r>
              <w:rPr>
                <w:color w:val="000000"/>
              </w:rPr>
              <w:t> </w:t>
            </w:r>
          </w:p>
        </w:tc>
        <w:tc>
          <w:tcPr>
            <w:tcW w:w="109"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89.3</w:t>
            </w:r>
            <w:r>
              <w:rPr>
                <w:color w:val="000000"/>
              </w:rPr>
              <w:t> </w:t>
            </w:r>
          </w:p>
        </w:tc>
        <w:tc>
          <w:tcPr>
            <w:tcW w:w="256"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bottom w:val="sing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13,124</w:t>
            </w:r>
            <w:r>
              <w:rPr>
                <w:color w:val="000000"/>
              </w:rPr>
              <w:t> </w:t>
            </w:r>
          </w:p>
        </w:tc>
        <w:tc>
          <w:tcPr>
            <w:tcW w:w="109"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14,919</w:t>
            </w:r>
            <w:r>
              <w:rPr>
                <w:color w:val="000000"/>
              </w:rPr>
              <w:t> </w:t>
            </w:r>
          </w:p>
        </w:tc>
        <w:tc>
          <w:tcPr>
            <w:tcW w:w="109"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88.0</w:t>
            </w:r>
            <w:r>
              <w:rPr>
                <w:color w:val="000000"/>
              </w:rPr>
              <w:t> </w:t>
            </w:r>
          </w:p>
        </w:tc>
        <w:tc>
          <w:tcPr>
            <w:tcW w:w="256"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bottom w:val="single" w:sz="8" w:space="0" w:color="000000"/>
              <w:right w:val="single" w:sz="8" w:space="0" w:color="000000"/>
            </w:tcBorders>
            <w:shd w:fill="F8F4F1" w:val="clear"/>
            <w:tcMar>
              <w:top w:w="0" w:type="dxa"/>
              <w:lef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58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as the square footage of commenced leases plus the square footage of uncommenced leases for spaces vacant as of period end, divided by total rentable in-service square footage at period end.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page </w:t>
            </w:r>
            <w:hyperlink w:anchor="i727db7910f56455c9ef3ff41c5ece7ee_88">
              <w:r>
                <w:rPr>
                  <w:rStyle w:val="InternetLink"/>
                  <w:rFonts w:ascii="Arial;sans-serif" w:hAnsi="Arial;sans-serif"/>
                  <w:b w:val="false"/>
                  <w:strike w:val="false"/>
                  <w:dstrike w:val="false"/>
                  <w:color w:val="3051F2"/>
                  <w:sz w:val="14"/>
                  <w:u w:val="none"/>
                  <w:effect w:val="none"/>
                </w:rPr>
                <w:t>37</w:t>
              </w:r>
            </w:hyperlink>
            <w:r>
              <w:rPr>
                <w:color w:val="3051F2"/>
                <w:u w:val="single"/>
              </w:rPr>
              <w:t xml:space="preserve"> </w:t>
            </w:r>
            <w:r>
              <w:rPr>
                <w:rFonts w:ascii="Arial;sans-serif" w:hAnsi="Arial;sans-serif"/>
                <w:b w:val="false"/>
                <w:color w:val="000000"/>
                <w:sz w:val="14"/>
              </w:rPr>
              <w:t>for detailed information on recent acquisitions and dispositions.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page </w:t>
            </w:r>
            <w:hyperlink w:anchor="i8137f97b72284a9fbc7a3411d7fdc13c_0-0-7-15-236682">
              <w:r>
                <w:rPr>
                  <w:rStyle w:val="InternetLink"/>
                  <w:rFonts w:ascii="Arial;sans-serif" w:hAnsi="Arial;sans-serif"/>
                  <w:b w:val="false"/>
                  <w:color w:val="000080"/>
                  <w:sz w:val="14"/>
                  <w:u w:val="single"/>
                </w:rPr>
                <w:t>36</w:t>
              </w:r>
            </w:hyperlink>
            <w:r>
              <w:rPr>
                <w:rFonts w:ascii="Arial;sans-serif" w:hAnsi="Arial;sans-serif"/>
                <w:b w:val="false"/>
                <w:color w:val="3051F2"/>
                <w:sz w:val="14"/>
                <w:u w:val="single"/>
              </w:rPr>
              <w:t xml:space="preserve"> </w:t>
            </w:r>
            <w:r>
              <w:rPr>
                <w:rFonts w:ascii="Arial;sans-serif" w:hAnsi="Arial;sans-serif"/>
                <w:b w:val="false"/>
                <w:color w:val="000000"/>
                <w:sz w:val="14"/>
              </w:rPr>
              <w:t>for detailed information on assets placed out of service.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1"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Rental Rate Roll Up / Roll Down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9"/>
        <w:gridCol w:w="1009"/>
        <w:gridCol w:w="1017"/>
        <w:gridCol w:w="394"/>
        <w:gridCol w:w="394"/>
        <w:gridCol w:w="396"/>
        <w:gridCol w:w="696"/>
        <w:gridCol w:w="696"/>
        <w:gridCol w:w="700"/>
        <w:gridCol w:w="402"/>
        <w:gridCol w:w="402"/>
        <w:gridCol w:w="403"/>
        <w:gridCol w:w="376"/>
        <w:gridCol w:w="376"/>
        <w:gridCol w:w="377"/>
        <w:gridCol w:w="419"/>
        <w:gridCol w:w="419"/>
        <w:gridCol w:w="420"/>
        <w:gridCol w:w="160"/>
      </w:tblGrid>
      <w:tr>
        <w:trPr/>
        <w:tc>
          <w:tcPr>
            <w:tcW w:w="114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br/>
              <w:t>(in thousands)</w:t>
            </w:r>
          </w:p>
        </w:tc>
        <w:tc>
          <w:tcPr>
            <w:tcW w:w="2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Signed During Period</w:t>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Rentable</w:t>
              <w:br/>
              <w:t>Square Footage</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p>
            <w:pPr>
              <w:pStyle w:val="TableContents"/>
              <w:bidi w:val="0"/>
              <w:spacing w:lineRule="auto" w:line="240" w:before="0" w:after="0"/>
              <w:jc w:val="center"/>
              <w:rPr/>
            </w:pPr>
            <w:r>
              <w:rPr>
                <w:rFonts w:ascii="Arial;sans-serif" w:hAnsi="Arial;sans-serif"/>
                <w:b/>
                <w:color w:val="000000"/>
                <w:sz w:val="16"/>
              </w:rPr>
              <w:t xml:space="preserve">Cash Rents </w:t>
            </w:r>
            <w:r>
              <w:rPr>
                <w:rFonts w:ascii="Arial;sans-serif" w:hAnsi="Arial;sans-serif"/>
                <w:b/>
                <w:color w:val="000000"/>
                <w:sz w:val="10"/>
              </w:rPr>
              <w:t xml:space="preserve">(1) </w:t>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p>
            <w:pPr>
              <w:pStyle w:val="TableContents"/>
              <w:bidi w:val="0"/>
              <w:spacing w:lineRule="auto" w:line="240" w:before="0" w:after="0"/>
              <w:jc w:val="center"/>
              <w:rPr/>
            </w:pPr>
            <w:r>
              <w:rPr>
                <w:rFonts w:ascii="Arial;sans-serif" w:hAnsi="Arial;sans-serif"/>
                <w:b/>
                <w:color w:val="000000"/>
                <w:sz w:val="16"/>
              </w:rPr>
              <w:t>Accrual Rents</w:t>
            </w:r>
            <w:r>
              <w:rPr>
                <w:color w:val="000000"/>
              </w:rPr>
              <w:t xml:space="preserve"> </w:t>
            </w:r>
            <w:r>
              <w:rPr>
                <w:rFonts w:ascii="Arial;sans-serif" w:hAnsi="Arial;sans-serif"/>
                <w:b/>
                <w:color w:val="000000"/>
                <w:sz w:val="10"/>
              </w:rPr>
              <w:t>(2)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Leases executed for spaces vacant one year or less</w:t>
            </w:r>
          </w:p>
        </w:tc>
        <w:tc>
          <w:tcPr>
            <w:tcW w:w="11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w:t>
            </w:r>
          </w:p>
        </w:tc>
        <w:tc>
          <w:tcPr>
            <w:tcW w:w="209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51.0%</w:t>
            </w:r>
          </w:p>
        </w:tc>
        <w:tc>
          <w:tcPr>
            <w:tcW w:w="120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112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w:t>
            </w:r>
          </w:p>
        </w:tc>
        <w:tc>
          <w:tcPr>
            <w:tcW w:w="125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Leases executed for spaces excluded from analysis</w:t>
            </w:r>
            <w:r>
              <w:rPr>
                <w:color w:val="000000"/>
              </w:rPr>
              <w:t xml:space="preserve"> </w:t>
            </w:r>
            <w:r>
              <w:rPr>
                <w:rFonts w:ascii="Arial;sans-serif" w:hAnsi="Arial;sans-serif"/>
                <w:b w:val="false"/>
                <w:color w:val="000000"/>
                <w:sz w:val="10"/>
              </w:rPr>
              <w:t>(3)</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211</w:t>
            </w:r>
          </w:p>
        </w:tc>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49.0%</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36"/>
        <w:gridCol w:w="2870"/>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Calculation compares the last twelve months of cash paying rents of the previous lease to the first twelve months of cash paying rents of the new lease.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Calculation compares the accrual basis rents of the previous lease to the accrual basis rents of the new leases. For newly signed leases which have variations in accrual basis rents, whether because of known future expansions, contractions, lease expense recovery structure changes, or other similar reasons, the weighted average of such varying accrual basis rents is used for the calculation.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Leases are excluded from the above analyses if: (1) the space has been vacant for more than one year, (2) the lease term is less than one year, (3) the lease is associated with storage space, retail space, a management office, or a percentage rent agreement, or (4) the lease is associated with a recently acquired asset for which there is less than one year of operating history.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2"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Contractual Tenant Improvements and Leasing Commissions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38" w:type="dxa"/>
        <w:jc w:val="left"/>
        <w:tblInd w:w="0" w:type="dxa"/>
        <w:tblLayout w:type="fixed"/>
        <w:tblCellMar>
          <w:top w:w="28" w:type="dxa"/>
          <w:left w:w="28" w:type="dxa"/>
          <w:bottom w:w="28" w:type="dxa"/>
          <w:right w:w="28" w:type="dxa"/>
        </w:tblCellMar>
      </w:tblPr>
      <w:tblGrid>
        <w:gridCol w:w="124"/>
        <w:gridCol w:w="380"/>
        <w:gridCol w:w="380"/>
        <w:gridCol w:w="381"/>
        <w:gridCol w:w="235"/>
        <w:gridCol w:w="235"/>
        <w:gridCol w:w="236"/>
        <w:gridCol w:w="109"/>
        <w:gridCol w:w="466"/>
        <w:gridCol w:w="466"/>
        <w:gridCol w:w="466"/>
        <w:gridCol w:w="358"/>
        <w:gridCol w:w="274"/>
        <w:gridCol w:w="194"/>
        <w:gridCol w:w="275"/>
        <w:gridCol w:w="275"/>
        <w:gridCol w:w="276"/>
        <w:gridCol w:w="109"/>
        <w:gridCol w:w="275"/>
        <w:gridCol w:w="275"/>
        <w:gridCol w:w="276"/>
        <w:gridCol w:w="109"/>
        <w:gridCol w:w="275"/>
        <w:gridCol w:w="275"/>
        <w:gridCol w:w="276"/>
        <w:gridCol w:w="109"/>
        <w:gridCol w:w="109"/>
        <w:gridCol w:w="109"/>
        <w:gridCol w:w="109"/>
        <w:gridCol w:w="109"/>
        <w:gridCol w:w="109"/>
        <w:gridCol w:w="109"/>
        <w:gridCol w:w="109"/>
        <w:gridCol w:w="109"/>
        <w:gridCol w:w="841"/>
        <w:gridCol w:w="109"/>
        <w:gridCol w:w="109"/>
        <w:gridCol w:w="109"/>
        <w:gridCol w:w="275"/>
        <w:gridCol w:w="275"/>
        <w:gridCol w:w="276"/>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27" w:type="dxa"/>
            <w:gridSpan w:val="8"/>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w:t>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2022 to 2026</w:t>
            </w:r>
          </w:p>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(Weighted Average)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6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2024 </w:t>
            </w:r>
            <w:r>
              <w:rPr>
                <w:rFonts w:ascii="Arial;sans-serif" w:hAnsi="Arial;sans-serif"/>
                <w:b/>
                <w:color w:val="000000"/>
                <w:sz w:val="10"/>
              </w:rPr>
              <w:t>(2)</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2023 </w:t>
            </w:r>
            <w:r>
              <w:rPr>
                <w:rFonts w:ascii="Arial;sans-serif" w:hAnsi="Arial;sans-serif"/>
                <w:b/>
                <w:color w:val="000000"/>
                <w:sz w:val="10"/>
              </w:rPr>
              <w:t>(3)</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841" w:type="dxa"/>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416"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Leasing Transactions</w:t>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Square feet </w:t>
            </w:r>
            <w:r>
              <w:rPr>
                <w:rFonts w:ascii="Arial;sans-serif" w:hAnsi="Arial;sans-serif"/>
                <w:b w:val="false"/>
                <w:color w:val="000000"/>
                <w:sz w:val="10"/>
              </w:rPr>
              <w:t>(1)</w:t>
            </w:r>
          </w:p>
        </w:tc>
        <w:tc>
          <w:tcPr>
            <w:tcW w:w="70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430,067</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2,474,774</w:t>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2,428,246</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2,239,797</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2,142,852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right w:val="single" w:sz="8" w:space="0" w:color="000000"/>
            </w:tcBorders>
            <w:shd w:fill="F8F4F1"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9,715,736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Tenant improvements per square foot per year of lease term </w:t>
            </w:r>
          </w:p>
        </w:tc>
        <w:tc>
          <w:tcPr>
            <w:tcW w:w="70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$3.20</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$4.07</w:t>
            </w:r>
          </w:p>
        </w:tc>
        <w:tc>
          <w:tcPr>
            <w:tcW w:w="8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$3.70</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$3.80</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Leasing commissions per square foot per year of lease term </w:t>
            </w:r>
          </w:p>
        </w:tc>
        <w:tc>
          <w:tcPr>
            <w:tcW w:w="70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$2.77</w:t>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$2.21</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right w:val="single" w:sz="8" w:space="0" w:color="000000"/>
            </w:tcBorders>
            <w:shd w:fill="F8F4F1"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per square foot per year of lease term</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$6.84</w:t>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$6.01</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$6.01</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Less Adjustment for Commitment Expirations </w:t>
            </w:r>
            <w:r>
              <w:rPr>
                <w:rFonts w:ascii="Arial;sans-serif" w:hAnsi="Arial;sans-serif"/>
                <w:b/>
                <w:color w:val="000000"/>
                <w:sz w:val="10"/>
              </w:rPr>
              <w:t>(4)</w:t>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Expired tenant improvements (not paid out) </w:t>
              <w:br/>
              <w:t>per square foot per year of lease term</w:t>
            </w:r>
          </w:p>
        </w:tc>
        <w:tc>
          <w:tcPr>
            <w:tcW w:w="70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-$0.42</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-$0.26</w:t>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-$0.34</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-$0.79</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right w:val="single" w:sz="8" w:space="0" w:color="000000"/>
            </w:tcBorders>
            <w:shd w:fill="F8F4F1"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total per square foot per year of lease term</w:t>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$5.18</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$6.58</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$5.67</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0"/>
        <w:gridCol w:w="2877"/>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Excludes square feet associated with storage and license agreement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Tenant improvement and leasing commission amounts presented for the year ended December 31, 2024 include a 101,500 square foot 11-year lease executed in the first quarter of 2024 with no capital outlay requirements.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Tenant improvement amounts presented for the year ended December 31, 2023 were adjusted to reflect the overall concession package for the 447,000 square foot 10-year renewal with US Bancorp, executed in the fourth quarter of 2023. The renewal terms provided for zero months of rent abatement, offset by an above-market tenant improvement allowance. The amounts are presented as if the renewal had included the standard twelve months of gross rent abatement in line with market conditions and, therefore, a normalized tenant improvement allowance. This adjustment effectively lowered the total capital per square foot per year of lease term for the year ended December 31, 2023 by $0.97.</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The Company reports total tenant improvement amounts based on the maximum amount of committed leasing capital in the period in which the lease is executed. However, tenants do not always use the full allowance provided for in the lease, or a portion of the allowance could expire at a set date. To provide additional clarity on actual costs for completed leasing transactions, tenant improvement allowances that have expired or are no longer available to the tenant are disclosed in this section and are deducted from the capital commitments per square foot of leased space in the periods in which they expired.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3"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Net Effective Rents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07"/>
        <w:gridCol w:w="1020"/>
        <w:gridCol w:w="1024"/>
        <w:gridCol w:w="299"/>
        <w:gridCol w:w="167"/>
        <w:gridCol w:w="362"/>
        <w:gridCol w:w="109"/>
        <w:gridCol w:w="109"/>
        <w:gridCol w:w="109"/>
        <w:gridCol w:w="320"/>
        <w:gridCol w:w="177"/>
        <w:gridCol w:w="382"/>
        <w:gridCol w:w="109"/>
        <w:gridCol w:w="109"/>
        <w:gridCol w:w="109"/>
        <w:gridCol w:w="299"/>
        <w:gridCol w:w="167"/>
        <w:gridCol w:w="362"/>
        <w:gridCol w:w="109"/>
        <w:gridCol w:w="109"/>
        <w:gridCol w:w="109"/>
        <w:gridCol w:w="299"/>
        <w:gridCol w:w="167"/>
        <w:gridCol w:w="362"/>
        <w:gridCol w:w="109"/>
        <w:gridCol w:w="109"/>
        <w:gridCol w:w="109"/>
        <w:gridCol w:w="299"/>
        <w:gridCol w:w="167"/>
        <w:gridCol w:w="362"/>
        <w:gridCol w:w="109"/>
        <w:gridCol w:w="109"/>
        <w:gridCol w:w="109"/>
        <w:gridCol w:w="348"/>
        <w:gridCol w:w="193"/>
        <w:gridCol w:w="487"/>
      </w:tblGrid>
      <w:tr>
        <w:trPr/>
        <w:tc>
          <w:tcPr>
            <w:tcW w:w="130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Five Quarter</w:t>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Leasing activity included in net effective rent analysis </w:t>
            </w:r>
            <w:r>
              <w:rPr>
                <w:rFonts w:ascii="Arial;sans-serif" w:hAnsi="Arial;sans-serif"/>
                <w:b/>
                <w:color w:val="000000"/>
                <w:sz w:val="10"/>
              </w:rPr>
              <w:t>(1)</w:t>
            </w:r>
          </w:p>
        </w:tc>
        <w:tc>
          <w:tcPr>
            <w:tcW w:w="82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Renewal leasing square footage (in 000s)</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tenant leasing square footage (in 000s)</w:t>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leasing square footage (in 000s) </w:t>
            </w:r>
          </w:p>
        </w:tc>
        <w:tc>
          <w:tcPr>
            <w:tcW w:w="8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514</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Renewal square footage (% of total)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Lease square footage (% of total)</w:t>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3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3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3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51.1 </w:t>
            </w:r>
          </w:p>
        </w:tc>
        <w:tc>
          <w:tcPr>
            <w:tcW w:w="3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lease transactions</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Net effective rents </w:t>
            </w:r>
            <w:r>
              <w:rPr>
                <w:rFonts w:ascii="Arial;sans-serif" w:hAnsi="Arial;sans-serif"/>
                <w:b/>
                <w:color w:val="000000"/>
                <w:sz w:val="10"/>
              </w:rPr>
              <w:t>(2) (3)</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 rent (gross)</w:t>
            </w:r>
          </w:p>
        </w:tc>
        <w:tc>
          <w:tcPr>
            <w:tcW w:w="299"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45.44</w:t>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concessions</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Rent</w:t>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41.26</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41.24</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42.21</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43.06</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46.89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42.93</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improvements</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commissions</w:t>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concessions</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rent after capex</w:t>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36.17</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35.79</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36.14</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35.95</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40.32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36.88</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 stop</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w:t>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rent after capex and opex</w:t>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22.03</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21.10</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21.26</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20.78</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24.29</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21.90</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Weighted average lease term in years </w:t>
            </w:r>
            <w:r>
              <w:rPr>
                <w:rFonts w:ascii="Arial;sans-serif" w:hAnsi="Arial;sans-serif"/>
                <w:b w:val="false"/>
                <w:color w:val="000000"/>
                <w:sz w:val="16"/>
              </w:rPr>
              <w:t>(weighted by square feet)</w:t>
            </w:r>
          </w:p>
        </w:tc>
        <w:tc>
          <w:tcPr>
            <w:tcW w:w="828"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w:t>
            </w:r>
          </w:p>
        </w:tc>
        <w:tc>
          <w:tcPr>
            <w:tcW w:w="327" w:type="dxa"/>
            <w:gridSpan w:val="3"/>
            <w:tcBorders>
              <w:bottom w:val="doub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w:t>
            </w:r>
          </w:p>
        </w:tc>
        <w:tc>
          <w:tcPr>
            <w:tcW w:w="327" w:type="dxa"/>
            <w:gridSpan w:val="3"/>
            <w:tcBorders>
              <w:bottom w:val="doub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w:t>
            </w:r>
          </w:p>
        </w:tc>
        <w:tc>
          <w:tcPr>
            <w:tcW w:w="327" w:type="dxa"/>
            <w:gridSpan w:val="3"/>
            <w:tcBorders>
              <w:bottom w:val="doub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w:t>
            </w:r>
          </w:p>
        </w:tc>
        <w:tc>
          <w:tcPr>
            <w:tcW w:w="327" w:type="dxa"/>
            <w:gridSpan w:val="3"/>
            <w:tcBorders>
              <w:bottom w:val="doub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w:t>
            </w:r>
          </w:p>
        </w:tc>
        <w:tc>
          <w:tcPr>
            <w:tcW w:w="327" w:type="dxa"/>
            <w:gridSpan w:val="3"/>
            <w:tcBorders>
              <w:bottom w:val="doub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w:t>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Leases are excluded from this analysis if: (1) the lease term is one year or less or (2) the lease is associated with non-office space (storage, retail or a management office). Total leased square footage in this analysis will not tie to the total reported leasing volume reported elsewhere in this supplemental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Based on the weighted average per rentable square footage over the lease term of each deal.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Excludes parking income due to the variable nature between markets and individual lease transactions.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4"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Future Contractual Income Sources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931" w:type="dxa"/>
        <w:jc w:val="left"/>
        <w:tblInd w:w="0" w:type="dxa"/>
        <w:tblLayout w:type="fixed"/>
        <w:tblCellMar>
          <w:top w:w="28" w:type="dxa"/>
          <w:left w:w="28" w:type="dxa"/>
          <w:bottom w:w="28" w:type="dxa"/>
          <w:right w:w="28" w:type="dxa"/>
        </w:tblCellMar>
      </w:tblPr>
      <w:tblGrid>
        <w:gridCol w:w="1138"/>
        <w:gridCol w:w="998"/>
        <w:gridCol w:w="998"/>
        <w:gridCol w:w="371"/>
        <w:gridCol w:w="585"/>
        <w:gridCol w:w="585"/>
        <w:gridCol w:w="585"/>
        <w:gridCol w:w="371"/>
        <w:gridCol w:w="371"/>
        <w:gridCol w:w="371"/>
        <w:gridCol w:w="371"/>
        <w:gridCol w:w="371"/>
        <w:gridCol w:w="371"/>
        <w:gridCol w:w="484"/>
        <w:gridCol w:w="484"/>
        <w:gridCol w:w="486"/>
        <w:gridCol w:w="290"/>
        <w:gridCol w:w="290"/>
        <w:gridCol w:w="411"/>
      </w:tblGrid>
      <w:tr>
        <w:trPr/>
        <w:tc>
          <w:tcPr>
            <w:tcW w:w="113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940" w:type="dxa"/>
            <w:gridSpan w:val="16"/>
            <w:tcBorders>
              <w:top w:val="single" w:sz="8" w:space="0" w:color="000000"/>
              <w:left w:val="single" w:sz="8" w:space="0" w:color="000000"/>
              <w:right w:val="single" w:sz="8" w:space="0" w:color="000000"/>
            </w:tcBorders>
            <w:shd w:fill="F8F4F1" w:val="clear"/>
            <w:tcMar>
              <w:top w:w="30" w:type="dxa"/>
              <w:bottom w:w="0" w:type="dxa"/>
            </w:tcMar>
            <w:vAlign w:val="center"/>
          </w:tcPr>
          <w:p>
            <w:pPr>
              <w:pStyle w:val="TableContents"/>
              <w:bidi w:val="0"/>
              <w:spacing w:lineRule="auto" w:line="240" w:before="0" w:after="0"/>
              <w:jc w:val="left"/>
              <w:rPr/>
            </w:pPr>
            <w:r>
              <w:rPr>
                <w:rFonts w:ascii="Arial;sans-serif" w:hAnsi="Arial;sans-serif"/>
                <w:b/>
                <w:color w:val="000000"/>
                <w:sz w:val="18"/>
              </w:rPr>
              <w:t xml:space="preserve">Uncommenced Leases for Vacant Space </w:t>
            </w:r>
            <w:r>
              <w:rPr>
                <w:rFonts w:ascii="Arial;sans-serif" w:hAnsi="Arial;sans-serif"/>
                <w:b/>
                <w:color w:val="000000"/>
                <w:sz w:val="12"/>
              </w:rPr>
              <w:t>(1)</w:t>
            </w:r>
          </w:p>
        </w:tc>
        <w:tc>
          <w:tcPr>
            <w:tcW w:w="991" w:type="dxa"/>
            <w:gridSpan w:val="3"/>
            <w:tcBorders/>
          </w:tcPr>
          <w:p>
            <w:pPr>
              <w:pStyle w:val="TableContents"/>
              <w:bidi w:val="0"/>
              <w:spacing w:before="0" w:after="283"/>
              <w:jc w:val="left"/>
              <w:rPr>
                <w:sz w:val="4"/>
                <w:szCs w:val="4"/>
              </w:rPr>
            </w:pPr>
            <w:r>
              <w:rPr>
                <w:sz w:val="4"/>
                <w:szCs w:val="4"/>
              </w:rPr>
            </w:r>
          </w:p>
        </w:tc>
      </w:tr>
      <w:tr>
        <w:trPr/>
        <w:tc>
          <w:tcPr>
            <w:tcW w:w="8940" w:type="dxa"/>
            <w:gridSpan w:val="16"/>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1.0 million square feet representing $41.6 million in future annual rent</w:t>
            </w:r>
          </w:p>
        </w:tc>
        <w:tc>
          <w:tcPr>
            <w:tcW w:w="991" w:type="dxa"/>
            <w:gridSpan w:val="3"/>
            <w:tcBorders/>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Major Leases (by Industry)</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Project</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br/>
              <w:t>Leased</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Lease</w:t>
              <w:br/>
              <w:t xml:space="preserve">Commencement </w:t>
            </w:r>
          </w:p>
        </w:tc>
        <w:tc>
          <w:tcPr>
            <w:tcW w:w="991"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New / </w:t>
              <w:br/>
              <w:t>Expansion</w:t>
            </w:r>
          </w:p>
        </w:tc>
      </w:tr>
      <w:tr>
        <w:trPr/>
        <w:tc>
          <w:tcPr>
            <w:tcW w:w="313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risk management</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Towers</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92,977</w:t>
            </w:r>
          </w:p>
        </w:tc>
        <w:tc>
          <w:tcPr>
            <w:tcW w:w="145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991"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International data centers provider</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Interlink at Las Colinas</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56,080</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99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National mortgage lender</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Interlink at Las Colinas</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55,252</w:t>
            </w:r>
          </w:p>
        </w:tc>
        <w:tc>
          <w:tcPr>
            <w:tcW w:w="145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991"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and financial services</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9320 Excelsior</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40,793</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99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Home service provider</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on the Park</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47,835</w:t>
            </w:r>
          </w:p>
        </w:tc>
        <w:tc>
          <w:tcPr>
            <w:tcW w:w="145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2026</w:t>
            </w:r>
          </w:p>
        </w:tc>
        <w:tc>
          <w:tcPr>
            <w:tcW w:w="991"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hardware and software</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Medici</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35,669</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2026</w:t>
            </w:r>
          </w:p>
        </w:tc>
        <w:tc>
          <w:tcPr>
            <w:tcW w:w="99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Banking and financial services</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54,692</w:t>
            </w:r>
          </w:p>
        </w:tc>
        <w:tc>
          <w:tcPr>
            <w:tcW w:w="145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991"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Accounting and business advisory</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Bancorp Center</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41,294</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99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Engineering and environmental consulting</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85,267</w:t>
            </w:r>
          </w:p>
        </w:tc>
        <w:tc>
          <w:tcPr>
            <w:tcW w:w="145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991"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4"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risk management</w:t>
            </w:r>
          </w:p>
        </w:tc>
        <w:tc>
          <w:tcPr>
            <w:tcW w:w="371" w:type="dxa"/>
            <w:tcBorders/>
            <w:vAlign w:val="center"/>
          </w:tcPr>
          <w:p>
            <w:pPr>
              <w:pStyle w:val="TableContents"/>
              <w:bidi w:val="0"/>
              <w:spacing w:before="0" w:after="283"/>
              <w:jc w:val="left"/>
              <w:rPr>
                <w:sz w:val="4"/>
                <w:szCs w:val="4"/>
              </w:rPr>
            </w:pPr>
            <w:r>
              <w:rPr>
                <w:sz w:val="4"/>
                <w:szCs w:val="4"/>
              </w:rPr>
            </w:r>
          </w:p>
        </w:tc>
        <w:tc>
          <w:tcPr>
            <w:tcW w:w="17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11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1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54,662</w:t>
            </w:r>
          </w:p>
        </w:tc>
        <w:tc>
          <w:tcPr>
            <w:tcW w:w="14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991"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6"/>
        <w:gridCol w:w="671"/>
        <w:gridCol w:w="598"/>
        <w:gridCol w:w="244"/>
        <w:gridCol w:w="473"/>
        <w:gridCol w:w="442"/>
        <w:gridCol w:w="350"/>
        <w:gridCol w:w="337"/>
        <w:gridCol w:w="337"/>
        <w:gridCol w:w="316"/>
        <w:gridCol w:w="344"/>
        <w:gridCol w:w="301"/>
        <w:gridCol w:w="252"/>
        <w:gridCol w:w="481"/>
        <w:gridCol w:w="481"/>
        <w:gridCol w:w="482"/>
        <w:gridCol w:w="337"/>
        <w:gridCol w:w="337"/>
        <w:gridCol w:w="298"/>
        <w:gridCol w:w="638"/>
        <w:gridCol w:w="638"/>
        <w:gridCol w:w="912"/>
      </w:tblGrid>
      <w:tr>
        <w:trPr/>
        <w:tc>
          <w:tcPr>
            <w:tcW w:w="9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8017" w:type="dxa"/>
            <w:gridSpan w:val="19"/>
            <w:tcBorders>
              <w:top w:val="single" w:sz="8" w:space="0" w:color="000000"/>
              <w:left w:val="single" w:sz="8" w:space="0" w:color="000000"/>
              <w:right w:val="single" w:sz="8" w:space="0" w:color="000000"/>
            </w:tcBorders>
            <w:shd w:fill="F8F4F1" w:val="clear"/>
            <w:tcMar>
              <w:top w:w="30" w:type="dxa"/>
              <w:bottom w:w="0" w:type="dxa"/>
            </w:tcMar>
            <w:vAlign w:val="center"/>
          </w:tcPr>
          <w:p>
            <w:pPr>
              <w:pStyle w:val="TableContents"/>
              <w:bidi w:val="0"/>
              <w:spacing w:lineRule="auto" w:line="240" w:before="0" w:after="0"/>
              <w:jc w:val="left"/>
              <w:rPr/>
            </w:pPr>
            <w:r>
              <w:rPr>
                <w:rFonts w:ascii="Arial;sans-serif" w:hAnsi="Arial;sans-serif"/>
                <w:b/>
                <w:color w:val="000000"/>
                <w:sz w:val="18"/>
              </w:rPr>
              <w:t xml:space="preserve">Leases Currently Under Abatement </w:t>
            </w:r>
            <w:r>
              <w:rPr>
                <w:rFonts w:ascii="Arial;sans-serif" w:hAnsi="Arial;sans-serif"/>
                <w:b/>
                <w:color w:val="000000"/>
                <w:sz w:val="12"/>
              </w:rPr>
              <w:t xml:space="preserve">(1) </w:t>
            </w:r>
          </w:p>
        </w:tc>
        <w:tc>
          <w:tcPr>
            <w:tcW w:w="2188" w:type="dxa"/>
            <w:gridSpan w:val="3"/>
            <w:tcBorders/>
          </w:tcPr>
          <w:p>
            <w:pPr>
              <w:pStyle w:val="TableContents"/>
              <w:bidi w:val="0"/>
              <w:spacing w:before="0" w:after="283"/>
              <w:jc w:val="left"/>
              <w:rPr>
                <w:sz w:val="4"/>
                <w:szCs w:val="4"/>
              </w:rPr>
            </w:pPr>
            <w:r>
              <w:rPr>
                <w:sz w:val="4"/>
                <w:szCs w:val="4"/>
              </w:rPr>
            </w:r>
          </w:p>
        </w:tc>
      </w:tr>
      <w:tr>
        <w:trPr/>
        <w:tc>
          <w:tcPr>
            <w:tcW w:w="8017" w:type="dxa"/>
            <w:gridSpan w:val="19"/>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0.9 million square feet representing $26.0 million in future annual cash rent</w:t>
            </w:r>
          </w:p>
        </w:tc>
        <w:tc>
          <w:tcPr>
            <w:tcW w:w="2188" w:type="dxa"/>
            <w:gridSpan w:val="3"/>
            <w:tcBorders/>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Major Leases (by Industry)</w:t>
            </w:r>
          </w:p>
        </w:tc>
        <w:tc>
          <w:tcPr>
            <w:tcW w:w="244"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Project</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br/>
              <w:t>Abated</w:t>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0" w:after="0"/>
              <w:jc w:val="center"/>
              <w:rPr/>
            </w:pPr>
            <w:r>
              <w:rPr>
                <w:rFonts w:ascii="Arial;sans-serif" w:hAnsi="Arial;sans-serif"/>
                <w:b/>
                <w:color w:val="000000"/>
                <w:sz w:val="16"/>
              </w:rPr>
              <w:t>Commencement</w:t>
            </w:r>
            <w:r>
              <w:rPr>
                <w:color w:val="EE2724"/>
              </w:rPr>
              <w:t xml:space="preserve"> </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Lease </w:t>
              <w:br/>
              <w:t>Expiration</w:t>
            </w:r>
          </w:p>
        </w:tc>
        <w:tc>
          <w:tcPr>
            <w:tcW w:w="2188"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Remaining Abatement Schedule </w:t>
            </w:r>
          </w:p>
        </w:tc>
      </w:tr>
      <w:tr>
        <w:trPr/>
        <w:tc>
          <w:tcPr>
            <w:tcW w:w="2205" w:type="dxa"/>
            <w:gridSpan w:val="3"/>
            <w:tcBorders>
              <w:top w:val="single" w:sz="8" w:space="0" w:color="000000"/>
              <w:left w:val="single" w:sz="8" w:space="0" w:color="000000"/>
            </w:tcBorders>
            <w:shd w:fill="F8F4F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services</w:t>
            </w:r>
          </w:p>
        </w:tc>
        <w:tc>
          <w:tcPr>
            <w:tcW w:w="244"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Crescent Ridge II</w:t>
            </w:r>
          </w:p>
        </w:tc>
        <w:tc>
          <w:tcPr>
            <w:tcW w:w="990"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897"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32,326</w:t>
            </w:r>
          </w:p>
        </w:tc>
        <w:tc>
          <w:tcPr>
            <w:tcW w:w="144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2024</w:t>
            </w:r>
          </w:p>
        </w:tc>
        <w:tc>
          <w:tcPr>
            <w:tcW w:w="972"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2041</w:t>
            </w:r>
          </w:p>
        </w:tc>
        <w:tc>
          <w:tcPr>
            <w:tcW w:w="2188" w:type="dxa"/>
            <w:gridSpan w:val="3"/>
            <w:tcBorders>
              <w:top w:val="single" w:sz="8" w:space="0" w:color="000000"/>
              <w:right w:val="single" w:sz="8" w:space="0" w:color="000000"/>
            </w:tcBorders>
            <w:shd w:fill="F8F4F1"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October 2024 through March 2026</w:t>
            </w:r>
          </w:p>
        </w:tc>
      </w:tr>
      <w:tr>
        <w:trPr/>
        <w:tc>
          <w:tcPr>
            <w:tcW w:w="220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and financial services</w:t>
            </w:r>
          </w:p>
        </w:tc>
        <w:tc>
          <w:tcPr>
            <w:tcW w:w="244"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on the Park</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46,939</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2025</w:t>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2036</w:t>
            </w:r>
          </w:p>
        </w:tc>
        <w:tc>
          <w:tcPr>
            <w:tcW w:w="2188"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2025 through August 2026</w:t>
            </w:r>
          </w:p>
        </w:tc>
      </w:tr>
      <w:tr>
        <w:trPr/>
        <w:tc>
          <w:tcPr>
            <w:tcW w:w="220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Governmental entity</w:t>
            </w:r>
          </w:p>
        </w:tc>
        <w:tc>
          <w:tcPr>
            <w:tcW w:w="244"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60 Broad </w:t>
            </w:r>
          </w:p>
        </w:tc>
        <w:tc>
          <w:tcPr>
            <w:tcW w:w="9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w:t>
            </w:r>
          </w:p>
        </w:tc>
        <w:tc>
          <w:tcPr>
            <w:tcW w:w="89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35,103</w:t>
            </w:r>
          </w:p>
        </w:tc>
        <w:tc>
          <w:tcPr>
            <w:tcW w:w="14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2024</w:t>
            </w:r>
          </w:p>
        </w:tc>
        <w:tc>
          <w:tcPr>
            <w:tcW w:w="9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2037</w:t>
            </w:r>
          </w:p>
        </w:tc>
        <w:tc>
          <w:tcPr>
            <w:tcW w:w="2188"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2025 through May 2026</w:t>
            </w:r>
          </w:p>
        </w:tc>
      </w:tr>
      <w:tr>
        <w:trPr/>
        <w:tc>
          <w:tcPr>
            <w:tcW w:w="220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Private investment management</w:t>
            </w:r>
          </w:p>
        </w:tc>
        <w:tc>
          <w:tcPr>
            <w:tcW w:w="244"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CNL Center I and II</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Orlando</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25,538</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Q3 2026 </w:t>
            </w:r>
            <w:r>
              <w:rPr>
                <w:rFonts w:ascii="Arial;sans-serif" w:hAnsi="Arial;sans-serif"/>
                <w:b w:val="false"/>
                <w:color w:val="000000"/>
                <w:sz w:val="10"/>
              </w:rPr>
              <w:t xml:space="preserve">(2) </w:t>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2032</w:t>
            </w:r>
          </w:p>
        </w:tc>
        <w:tc>
          <w:tcPr>
            <w:tcW w:w="2188"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January 2026 through May 2026 </w:t>
            </w:r>
            <w:r>
              <w:rPr>
                <w:rFonts w:ascii="Arial;sans-serif" w:hAnsi="Arial;sans-serif"/>
                <w:b w:val="false"/>
                <w:color w:val="000000"/>
                <w:sz w:val="10"/>
              </w:rPr>
              <w:t xml:space="preserve">(2) </w:t>
            </w:r>
          </w:p>
        </w:tc>
      </w:tr>
      <w:tr>
        <w:trPr/>
        <w:tc>
          <w:tcPr>
            <w:tcW w:w="220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Banking and financial services</w:t>
            </w:r>
          </w:p>
        </w:tc>
        <w:tc>
          <w:tcPr>
            <w:tcW w:w="244"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9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89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27,049</w:t>
            </w:r>
          </w:p>
        </w:tc>
        <w:tc>
          <w:tcPr>
            <w:tcW w:w="14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2026</w:t>
            </w:r>
          </w:p>
        </w:tc>
        <w:tc>
          <w:tcPr>
            <w:tcW w:w="9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2036</w:t>
            </w:r>
          </w:p>
        </w:tc>
        <w:tc>
          <w:tcPr>
            <w:tcW w:w="2188"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2026 through December 2027</w:t>
            </w:r>
          </w:p>
        </w:tc>
      </w:tr>
      <w:tr>
        <w:trPr/>
        <w:tc>
          <w:tcPr>
            <w:tcW w:w="220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Food production and distribution</w:t>
            </w:r>
          </w:p>
        </w:tc>
        <w:tc>
          <w:tcPr>
            <w:tcW w:w="244"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9320 Excelsior</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77,197</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2026</w:t>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2040</w:t>
            </w:r>
          </w:p>
        </w:tc>
        <w:tc>
          <w:tcPr>
            <w:tcW w:w="2188"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February 2026 through January 2027</w:t>
            </w:r>
          </w:p>
        </w:tc>
      </w:tr>
      <w:tr>
        <w:trPr/>
        <w:tc>
          <w:tcPr>
            <w:tcW w:w="220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Trial law firm</w:t>
            </w:r>
          </w:p>
        </w:tc>
        <w:tc>
          <w:tcPr>
            <w:tcW w:w="244"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999 Peachtree</w:t>
            </w:r>
          </w:p>
        </w:tc>
        <w:tc>
          <w:tcPr>
            <w:tcW w:w="9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89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24,220</w:t>
            </w:r>
          </w:p>
        </w:tc>
        <w:tc>
          <w:tcPr>
            <w:tcW w:w="14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2026</w:t>
            </w:r>
          </w:p>
        </w:tc>
        <w:tc>
          <w:tcPr>
            <w:tcW w:w="9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2039</w:t>
            </w:r>
          </w:p>
        </w:tc>
        <w:tc>
          <w:tcPr>
            <w:tcW w:w="2188"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2026 through June 2026</w:t>
            </w:r>
          </w:p>
        </w:tc>
      </w:tr>
      <w:tr>
        <w:trPr/>
        <w:tc>
          <w:tcPr>
            <w:tcW w:w="2205"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construction management</w:t>
            </w:r>
          </w:p>
        </w:tc>
        <w:tc>
          <w:tcPr>
            <w:tcW w:w="244" w:type="dxa"/>
            <w:tcBorders/>
            <w:vAlign w:val="center"/>
          </w:tcPr>
          <w:p>
            <w:pPr>
              <w:pStyle w:val="TableContents"/>
              <w:bidi w:val="0"/>
              <w:spacing w:before="0" w:after="283"/>
              <w:jc w:val="left"/>
              <w:rPr>
                <w:sz w:val="4"/>
                <w:szCs w:val="4"/>
              </w:rPr>
            </w:pPr>
            <w:r>
              <w:rPr>
                <w:sz w:val="4"/>
                <w:szCs w:val="4"/>
              </w:rPr>
            </w:r>
          </w:p>
        </w:tc>
        <w:tc>
          <w:tcPr>
            <w:tcW w:w="12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9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89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34,013</w:t>
            </w:r>
          </w:p>
        </w:tc>
        <w:tc>
          <w:tcPr>
            <w:tcW w:w="14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2026</w:t>
            </w:r>
          </w:p>
        </w:tc>
        <w:tc>
          <w:tcPr>
            <w:tcW w:w="9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2038</w:t>
            </w:r>
          </w:p>
        </w:tc>
        <w:tc>
          <w:tcPr>
            <w:tcW w:w="2188"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2026 through February 2028</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221" w:type="dxa"/>
        <w:jc w:val="left"/>
        <w:tblInd w:w="0" w:type="dxa"/>
        <w:tblLayout w:type="fixed"/>
        <w:tblCellMar>
          <w:top w:w="28" w:type="dxa"/>
          <w:left w:w="28" w:type="dxa"/>
          <w:bottom w:w="28" w:type="dxa"/>
          <w:right w:w="28" w:type="dxa"/>
        </w:tblCellMar>
      </w:tblPr>
      <w:tblGrid>
        <w:gridCol w:w="124"/>
        <w:gridCol w:w="109"/>
        <w:gridCol w:w="109"/>
        <w:gridCol w:w="2595"/>
        <w:gridCol w:w="2595"/>
        <w:gridCol w:w="36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8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Includes leasing activity for the total portfolio, including assets currently out of service.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8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Abatement will be given for five months during the existing lease term, before the tenant renewal is set to commence in third quarter of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5"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Lease Expiration Schedule</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62" w:type="dxa"/>
        <w:jc w:val="left"/>
        <w:tblInd w:w="0" w:type="dxa"/>
        <w:tblLayout w:type="fixed"/>
        <w:tblCellMar>
          <w:top w:w="28" w:type="dxa"/>
          <w:left w:w="28" w:type="dxa"/>
          <w:bottom w:w="28" w:type="dxa"/>
          <w:right w:w="28" w:type="dxa"/>
        </w:tblCellMar>
      </w:tblPr>
      <w:tblGrid>
        <w:gridCol w:w="478"/>
        <w:gridCol w:w="419"/>
        <w:gridCol w:w="422"/>
        <w:gridCol w:w="109"/>
        <w:gridCol w:w="109"/>
        <w:gridCol w:w="109"/>
        <w:gridCol w:w="504"/>
        <w:gridCol w:w="504"/>
        <w:gridCol w:w="506"/>
        <w:gridCol w:w="504"/>
        <w:gridCol w:w="504"/>
        <w:gridCol w:w="506"/>
        <w:gridCol w:w="454"/>
        <w:gridCol w:w="454"/>
        <w:gridCol w:w="456"/>
        <w:gridCol w:w="505"/>
        <w:gridCol w:w="505"/>
        <w:gridCol w:w="71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Expiration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Annualized 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r>
              <w:rPr>
                <w:rFonts w:ascii="Arial;sans-serif" w:hAnsi="Arial;sans-serif"/>
                <w:b/>
                <w:color w:val="000000"/>
                <w:sz w:val="10"/>
              </w:rPr>
              <w:t>(1)</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Percentage of</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Annualized Lease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Revenue (%)</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Rentable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Percentage of</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Rentable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 (%)</w:t>
            </w:r>
          </w:p>
        </w:tc>
      </w:tr>
      <w:tr>
        <w:trPr/>
        <w:tc>
          <w:tcPr>
            <w:tcW w:w="131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Vacant</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1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6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1,600</w:t>
            </w:r>
          </w:p>
        </w:tc>
        <w:tc>
          <w:tcPr>
            <w:tcW w:w="172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2026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52,648</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1,193</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53,449</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1,351</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51,302</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1,236</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56,026</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1,273</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59,496</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1,372</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47,638</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1,137</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41,076</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944</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16,459</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378</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51,700</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1,292</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33,537</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799</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27,424</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677</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50,386</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982</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7,543</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38,762</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521</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r>
      <w:tr>
        <w:trPr/>
        <w:tc>
          <w:tcPr>
            <w:tcW w:w="13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$587,446</w:t>
            </w:r>
          </w:p>
        </w:tc>
        <w:tc>
          <w:tcPr>
            <w:tcW w:w="15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3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14,923</w:t>
            </w:r>
          </w:p>
        </w:tc>
        <w:tc>
          <w:tcPr>
            <w:tcW w:w="17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r>
    </w:tbl>
    <w:p>
      <w:pPr>
        <w:pStyle w:val="TextBody"/>
        <w:bidi w:val="0"/>
        <w:spacing w:lineRule="auto" w:line="288" w:before="0" w:after="0"/>
        <w:jc w:val="left"/>
        <w:rPr>
          <w:color w:val="000000"/>
        </w:rPr>
      </w:pPr>
      <w:r>
        <w:rPr>
          <w:color w:val="000000"/>
        </w:rPr>
        <w:t>            </w:t>
      </w:r>
    </w:p>
    <w:tbl>
      <w:tblPr>
        <w:tblW w:w="2517" w:type="dxa"/>
        <w:jc w:val="left"/>
        <w:tblInd w:w="0" w:type="dxa"/>
        <w:tblLayout w:type="fixed"/>
        <w:tblCellMar>
          <w:top w:w="28" w:type="dxa"/>
          <w:left w:w="28" w:type="dxa"/>
          <w:bottom w:w="28" w:type="dxa"/>
          <w:right w:w="28" w:type="dxa"/>
        </w:tblCellMar>
      </w:tblPr>
      <w:tblGrid>
        <w:gridCol w:w="435"/>
        <w:gridCol w:w="384"/>
        <w:gridCol w:w="384"/>
        <w:gridCol w:w="384"/>
        <w:gridCol w:w="384"/>
        <w:gridCol w:w="546"/>
      </w:tblGrid>
      <w:tr>
        <w:trPr/>
        <w:tc>
          <w:tcPr>
            <w:tcW w:w="43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517" w:type="dxa"/>
            <w:gridSpan w:val="6"/>
            <w:tcBorders/>
            <w:shd w:fill="58856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Average Lease Term Remaining</w:t>
            </w:r>
          </w:p>
        </w:tc>
      </w:tr>
      <w:tr>
        <w:trPr/>
        <w:tc>
          <w:tcPr>
            <w:tcW w:w="1203" w:type="dxa"/>
            <w:gridSpan w:val="3"/>
            <w:tcBorders>
              <w:top w:val="single" w:sz="8" w:space="0" w:color="FFFFFF"/>
            </w:tcBorders>
            <w:shd w:fill="588566"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3/31/2026</w:t>
            </w:r>
          </w:p>
        </w:tc>
        <w:tc>
          <w:tcPr>
            <w:tcW w:w="1314" w:type="dxa"/>
            <w:gridSpan w:val="3"/>
            <w:tcBorders>
              <w:top w:val="single" w:sz="8" w:space="0" w:color="FFFFFF"/>
            </w:tcBorders>
            <w:shd w:fill="58856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5.9 Years</w:t>
            </w:r>
          </w:p>
        </w:tc>
      </w:tr>
      <w:tr>
        <w:trPr/>
        <w:tc>
          <w:tcPr>
            <w:tcW w:w="1203" w:type="dxa"/>
            <w:gridSpan w:val="3"/>
            <w:tcBorders>
              <w:top w:val="single" w:sz="8" w:space="0" w:color="FFFFFF"/>
            </w:tcBorders>
            <w:shd w:fill="588566"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12/31/2025</w:t>
            </w:r>
          </w:p>
        </w:tc>
        <w:tc>
          <w:tcPr>
            <w:tcW w:w="1314" w:type="dxa"/>
            <w:gridSpan w:val="3"/>
            <w:tcBorders>
              <w:top w:val="single" w:sz="8" w:space="0" w:color="FFFFFF"/>
            </w:tcBorders>
            <w:shd w:fill="58856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6.0 years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9582150" cy="2305050"/>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7"/>
                    <a:stretch>
                      <a:fillRect/>
                    </a:stretch>
                  </pic:blipFill>
                  <pic:spPr bwMode="auto">
                    <a:xfrm>
                      <a:off x="0" y="0"/>
                      <a:ext cx="9582150" cy="23050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4"/>
        <w:gridCol w:w="109"/>
        <w:gridCol w:w="109"/>
        <w:gridCol w:w="2927"/>
        <w:gridCol w:w="2868"/>
        <w:gridCol w:w="40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Annualized rental income associated with each newly executed lease for currently occupied space is incorporated herein only at the expiration date for the current lease. Annualized rental income associated with each such new lease is removed from the expiry year of the current lease and added to the expiry year of the new lease. These adjustments effectively incorporate known roll ups and roll downs into the expiration schedule.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Includes leases with an expiration date of March 31, 2026, comprised of approximately 30,000 square feet and Annualized Lease Revenue of $1.1 million.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7"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Lease Expirations by Quarter</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49"/>
        <w:gridCol w:w="570"/>
        <w:gridCol w:w="579"/>
        <w:gridCol w:w="109"/>
        <w:gridCol w:w="109"/>
        <w:gridCol w:w="109"/>
        <w:gridCol w:w="255"/>
        <w:gridCol w:w="255"/>
        <w:gridCol w:w="256"/>
        <w:gridCol w:w="331"/>
        <w:gridCol w:w="331"/>
        <w:gridCol w:w="333"/>
        <w:gridCol w:w="109"/>
        <w:gridCol w:w="109"/>
        <w:gridCol w:w="109"/>
        <w:gridCol w:w="255"/>
        <w:gridCol w:w="255"/>
        <w:gridCol w:w="256"/>
        <w:gridCol w:w="331"/>
        <w:gridCol w:w="331"/>
        <w:gridCol w:w="333"/>
        <w:gridCol w:w="109"/>
        <w:gridCol w:w="109"/>
        <w:gridCol w:w="109"/>
        <w:gridCol w:w="255"/>
        <w:gridCol w:w="255"/>
        <w:gridCol w:w="256"/>
        <w:gridCol w:w="331"/>
        <w:gridCol w:w="331"/>
        <w:gridCol w:w="333"/>
        <w:gridCol w:w="109"/>
        <w:gridCol w:w="109"/>
        <w:gridCol w:w="109"/>
        <w:gridCol w:w="255"/>
        <w:gridCol w:w="255"/>
        <w:gridCol w:w="256"/>
        <w:gridCol w:w="304"/>
        <w:gridCol w:w="304"/>
        <w:gridCol w:w="442"/>
      </w:tblGrid>
      <w:tr>
        <w:trPr/>
        <w:tc>
          <w:tcPr>
            <w:tcW w:w="6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Q2 2026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2027</w:t>
            </w:r>
          </w:p>
        </w:tc>
      </w:tr>
      <w:tr>
        <w:trPr/>
        <w:tc>
          <w:tcPr>
            <w:tcW w:w="1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 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 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 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 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r>
              <w:rPr>
                <w:rFonts w:ascii="Arial;sans-serif" w:hAnsi="Arial;sans-serif"/>
                <w:b/>
                <w:color w:val="000000"/>
                <w:sz w:val="10"/>
              </w:rPr>
              <w:t>(2)</w:t>
            </w:r>
          </w:p>
        </w:tc>
      </w:tr>
      <w:tr>
        <w:trPr/>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189</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$7,811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$6,581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w:t>
            </w:r>
          </w:p>
        </w:tc>
        <w:tc>
          <w:tcPr>
            <w:tcW w:w="10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$1,801</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79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226</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8,189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3,665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10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1,693</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276</w:t>
            </w:r>
          </w:p>
        </w:tc>
      </w:tr>
      <w:tr>
        <w:trPr/>
        <w:tc>
          <w:tcPr>
            <w:tcW w:w="179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16,645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Orlando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2,988</w:t>
            </w:r>
          </w:p>
        </w:tc>
      </w:tr>
      <w:tr>
        <w:trPr/>
        <w:tc>
          <w:tcPr>
            <w:tcW w:w="179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Northern Virginia / Washington, D.C.</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3,196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260</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98"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768</w:t>
            </w:r>
          </w:p>
        </w:tc>
        <w:tc>
          <w:tcPr>
            <w:tcW w:w="995"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$33,989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201</w:t>
            </w:r>
          </w:p>
        </w:tc>
        <w:tc>
          <w:tcPr>
            <w:tcW w:w="995"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$8,731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224</w:t>
            </w:r>
          </w:p>
        </w:tc>
        <w:tc>
          <w:tcPr>
            <w:tcW w:w="995"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$11,592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180</w:t>
            </w:r>
          </w:p>
        </w:tc>
        <w:tc>
          <w:tcPr>
            <w:tcW w:w="1050"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$7,118</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Includes leases with an expiration date of March 31, 2026, comprised of approximately 30,000 square feet and expiring lease revenue of $1.0 million. No such adjustments are made to other periods presented.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Expiring Lease Revenue is calculated as expiring square footage multiplied by the gross rent per square foot of the tenant currently leasing the space.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expiring lease revenue in any given year will not tie to the expiring Annualized Lease Revenue presented on the Lease Expiration Schedule on the previous page as the Lease Expiration Schedule accounts for the revenue effects of newly signed leases. Reflected herein are expiring revenues based on in-place rental rates.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8"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Lease Expirations by Year</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601" w:type="dxa"/>
        <w:jc w:val="left"/>
        <w:tblInd w:w="0" w:type="dxa"/>
        <w:tblLayout w:type="fixed"/>
        <w:tblCellMar>
          <w:top w:w="28" w:type="dxa"/>
          <w:left w:w="28" w:type="dxa"/>
          <w:bottom w:w="28" w:type="dxa"/>
          <w:right w:w="28" w:type="dxa"/>
        </w:tblCellMar>
      </w:tblPr>
      <w:tblGrid>
        <w:gridCol w:w="401"/>
        <w:gridCol w:w="352"/>
        <w:gridCol w:w="358"/>
        <w:gridCol w:w="109"/>
        <w:gridCol w:w="109"/>
        <w:gridCol w:w="109"/>
        <w:gridCol w:w="255"/>
        <w:gridCol w:w="255"/>
        <w:gridCol w:w="256"/>
        <w:gridCol w:w="265"/>
        <w:gridCol w:w="265"/>
        <w:gridCol w:w="266"/>
        <w:gridCol w:w="109"/>
        <w:gridCol w:w="109"/>
        <w:gridCol w:w="109"/>
        <w:gridCol w:w="255"/>
        <w:gridCol w:w="255"/>
        <w:gridCol w:w="256"/>
        <w:gridCol w:w="265"/>
        <w:gridCol w:w="265"/>
        <w:gridCol w:w="266"/>
        <w:gridCol w:w="109"/>
        <w:gridCol w:w="109"/>
        <w:gridCol w:w="109"/>
        <w:gridCol w:w="255"/>
        <w:gridCol w:w="255"/>
        <w:gridCol w:w="256"/>
        <w:gridCol w:w="265"/>
        <w:gridCol w:w="265"/>
        <w:gridCol w:w="266"/>
        <w:gridCol w:w="109"/>
        <w:gridCol w:w="109"/>
        <w:gridCol w:w="109"/>
        <w:gridCol w:w="255"/>
        <w:gridCol w:w="255"/>
        <w:gridCol w:w="256"/>
        <w:gridCol w:w="265"/>
        <w:gridCol w:w="265"/>
        <w:gridCol w:w="266"/>
        <w:gridCol w:w="109"/>
        <w:gridCol w:w="109"/>
        <w:gridCol w:w="109"/>
        <w:gridCol w:w="255"/>
        <w:gridCol w:w="255"/>
        <w:gridCol w:w="256"/>
        <w:gridCol w:w="246"/>
        <w:gridCol w:w="246"/>
        <w:gridCol w:w="349"/>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12/31/2026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12/31/2030</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r>
              <w:rPr>
                <w:rFonts w:ascii="Arial;sans-serif" w:hAnsi="Arial;sans-serif"/>
                <w:b/>
                <w:color w:val="000000"/>
                <w:sz w:val="10"/>
              </w:rPr>
              <w:t>(2)</w:t>
            </w:r>
          </w:p>
        </w:tc>
      </w:tr>
      <w:tr>
        <w:trPr/>
        <w:tc>
          <w:tcPr>
            <w:tcW w:w="111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349</w:t>
            </w:r>
          </w:p>
        </w:tc>
        <w:tc>
          <w:tcPr>
            <w:tcW w:w="79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$16,394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573</w:t>
            </w:r>
          </w:p>
        </w:tc>
        <w:tc>
          <w:tcPr>
            <w:tcW w:w="79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$23,523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398</w:t>
            </w:r>
          </w:p>
        </w:tc>
        <w:tc>
          <w:tcPr>
            <w:tcW w:w="79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$17,072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395</w:t>
            </w:r>
          </w:p>
        </w:tc>
        <w:tc>
          <w:tcPr>
            <w:tcW w:w="79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$16,849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372</w:t>
            </w:r>
          </w:p>
        </w:tc>
        <w:tc>
          <w:tcPr>
            <w:tcW w:w="84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$14,141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9,477</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345</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13,132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165</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5,537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338</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15,119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286</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13,811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358</w:t>
            </w:r>
          </w:p>
        </w:tc>
        <w:tc>
          <w:tcPr>
            <w:tcW w:w="8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19,148</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216</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4,689</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16,645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8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1,716</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Orlando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7,340</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Northern Virginia / Washington, D.C.</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3,995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2,464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3,821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w:t>
            </w:r>
          </w:p>
        </w:tc>
        <w:tc>
          <w:tcPr>
            <w:tcW w:w="8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3,333</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1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1,193</w:t>
            </w:r>
          </w:p>
        </w:tc>
        <w:tc>
          <w:tcPr>
            <w:tcW w:w="79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$54,312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1,351</w:t>
            </w:r>
          </w:p>
        </w:tc>
        <w:tc>
          <w:tcPr>
            <w:tcW w:w="79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$53,798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1,236</w:t>
            </w:r>
          </w:p>
        </w:tc>
        <w:tc>
          <w:tcPr>
            <w:tcW w:w="79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$51,857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1,273</w:t>
            </w:r>
          </w:p>
        </w:tc>
        <w:tc>
          <w:tcPr>
            <w:tcW w:w="79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$56,194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1,372</w:t>
            </w:r>
          </w:p>
        </w:tc>
        <w:tc>
          <w:tcPr>
            <w:tcW w:w="84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$59,844</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Includes leases with an expiration date of March 31, 2026, comprised of approximately 30,000 square feet and expiring lease revenue of $1.0 million. No such adjustments are made to other periods presented.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Expiring Lease Revenue is calculated as expiring square footage multiplied by the gross rent per square foot of the tenant currently leasing the space.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Total expiring lease revenue in any given year will not tie to the expiring Annualized Lease Revenue presented on the Lease Expiration Schedule on page </w:t>
            </w:r>
            <w:hyperlink w:anchor="i727db7910f56455c9ef3ff41c5ece7ee_61">
              <w:r>
                <w:rPr>
                  <w:rStyle w:val="InternetLink"/>
                  <w:rFonts w:ascii="Arial;sans-serif" w:hAnsi="Arial;sans-serif"/>
                  <w:b w:val="false"/>
                  <w:strike w:val="false"/>
                  <w:dstrike w:val="false"/>
                  <w:color w:val="3051F2"/>
                  <w:sz w:val="14"/>
                  <w:u w:val="none"/>
                  <w:effect w:val="none"/>
                </w:rPr>
                <w:t>27</w:t>
              </w:r>
            </w:hyperlink>
            <w:r>
              <w:rPr>
                <w:color w:val="000000"/>
              </w:rPr>
              <w:t xml:space="preserve"> </w:t>
            </w:r>
            <w:r>
              <w:rPr>
                <w:rFonts w:ascii="Arial;sans-serif" w:hAnsi="Arial;sans-serif"/>
                <w:b w:val="false"/>
                <w:color w:val="000000"/>
                <w:sz w:val="14"/>
              </w:rPr>
              <w:t>as the Lease Expiration Schedule accounts for the revenue effects of newly signed leases. Reflected herein are expiring revenues based on in-place rental rates.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9"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Tenant Diversification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1"/>
        <w:gridCol w:w="581"/>
        <w:gridCol w:w="333"/>
        <w:gridCol w:w="326"/>
        <w:gridCol w:w="326"/>
        <w:gridCol w:w="327"/>
        <w:gridCol w:w="306"/>
        <w:gridCol w:w="306"/>
        <w:gridCol w:w="307"/>
        <w:gridCol w:w="326"/>
        <w:gridCol w:w="326"/>
        <w:gridCol w:w="327"/>
        <w:gridCol w:w="1056"/>
        <w:gridCol w:w="363"/>
        <w:gridCol w:w="363"/>
        <w:gridCol w:w="364"/>
        <w:gridCol w:w="411"/>
        <w:gridCol w:w="411"/>
        <w:gridCol w:w="412"/>
        <w:gridCol w:w="1107"/>
        <w:gridCol w:w="198"/>
        <w:gridCol w:w="198"/>
        <w:gridCol w:w="205"/>
        <w:gridCol w:w="162"/>
        <w:gridCol w:w="162"/>
        <w:gridCol w:w="241"/>
      </w:tblGrid>
      <w:tr>
        <w:trPr/>
        <w:tc>
          <w:tcPr>
            <w:tcW w:w="7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039" w:type="dxa"/>
            <w:gridSpan w:val="20"/>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Tenants Contributing 1% or More to Annualized Lease Revenue </w:t>
            </w:r>
            <w:r>
              <w:rPr>
                <w:rFonts w:ascii="Arial;sans-serif" w:hAnsi="Arial;sans-serif"/>
                <w:b/>
                <w:color w:val="000000"/>
                <w:sz w:val="12"/>
              </w:rPr>
              <w:t>(1)</w:t>
            </w:r>
          </w:p>
        </w:tc>
        <w:tc>
          <w:tcPr>
            <w:tcW w:w="1166" w:type="dxa"/>
            <w:gridSpan w:val="6"/>
            <w:tcBorders/>
          </w:tcPr>
          <w:p>
            <w:pPr>
              <w:pStyle w:val="TableContents"/>
              <w:bidi w:val="0"/>
              <w:spacing w:before="0" w:after="283"/>
              <w:jc w:val="left"/>
              <w:rPr>
                <w:sz w:val="4"/>
                <w:szCs w:val="4"/>
              </w:rPr>
            </w:pPr>
            <w:r>
              <w:rPr>
                <w:sz w:val="4"/>
                <w:szCs w:val="4"/>
              </w:rPr>
            </w:r>
          </w:p>
        </w:tc>
      </w:tr>
      <w:tr>
        <w:trPr/>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Tenant</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Credit Rating </w:t>
            </w:r>
            <w:r>
              <w:rPr>
                <w:rFonts w:ascii="Arial;sans-serif" w:hAnsi="Arial;sans-serif"/>
                <w:b/>
                <w:color w:val="000000"/>
                <w:sz w:val="10"/>
              </w:rPr>
              <w:t>(2)</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S&amp;P / Moody's</w:t>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Properties</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6"/>
              </w:rPr>
              <w:t>Lease Term</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Remaining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years)</w:t>
            </w:r>
          </w:p>
        </w:tc>
        <w:tc>
          <w:tcPr>
            <w:tcW w:w="10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Annualized</w:t>
              <w:br/>
              <w:t>Lease Revenue</w:t>
              <w:br/>
              <w:t>(in thousands)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Annualized Lease</w:t>
              <w:br/>
              <w:t>Revenue (%)</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Leased</w:t>
              <w:br/>
              <w:t>Square Footage (in thousands)</w:t>
            </w:r>
          </w:p>
        </w:tc>
        <w:tc>
          <w:tcPr>
            <w:tcW w:w="11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Leased</w:t>
              <w:br/>
              <w:t>Square Footage (%)</w:t>
            </w:r>
          </w:p>
        </w:tc>
        <w:tc>
          <w:tcPr>
            <w:tcW w:w="1166" w:type="dxa"/>
            <w:gridSpan w:val="6"/>
            <w:tcBorders/>
          </w:tcPr>
          <w:p>
            <w:pPr>
              <w:pStyle w:val="TableContents"/>
              <w:bidi w:val="0"/>
              <w:spacing w:before="0" w:after="283"/>
              <w:jc w:val="left"/>
              <w:rPr>
                <w:sz w:val="4"/>
                <w:szCs w:val="4"/>
              </w:rPr>
            </w:pPr>
            <w:r>
              <w:rPr>
                <w:sz w:val="4"/>
                <w:szCs w:val="4"/>
              </w:rPr>
            </w:r>
          </w:p>
        </w:tc>
      </w:tr>
      <w:tr>
        <w:trPr/>
        <w:tc>
          <w:tcPr>
            <w:tcW w:w="1675"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of New York</w:t>
            </w:r>
          </w:p>
        </w:tc>
        <w:tc>
          <w:tcPr>
            <w:tcW w:w="97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 / Aa1</w:t>
            </w:r>
          </w:p>
        </w:tc>
        <w:tc>
          <w:tcPr>
            <w:tcW w:w="91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11.4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$28,378</w:t>
            </w:r>
          </w:p>
        </w:tc>
        <w:tc>
          <w:tcPr>
            <w:tcW w:w="123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486</w:t>
            </w:r>
          </w:p>
        </w:tc>
        <w:tc>
          <w:tcPr>
            <w:tcW w:w="565"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City of New York</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 / Aa2</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0.2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16,560</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Amazon</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 / A1</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4.3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15,662</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285</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Bancorp</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 A3</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8.2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15,643</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435</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Microsoft</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AAA / Aaa</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5.2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14,435</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355</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King &amp; Spalding</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 Rating Available</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5.0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13,978</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Transocean</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CCC+ / B3</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10.1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12,328</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Broadcom</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 A3</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1.1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11,474</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206</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Schlumberger Technology</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 A1</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2.8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8,548</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254</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Gartner</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BBB- / Baa3</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8.3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8,190</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207</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Fiserv</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BBB / Baa2</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1.3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8,015</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Salesforce.com</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 A2</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3.3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8,006</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Epsilon Data Management (subsidiary of Publicis)</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BBB+ / Baa1</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0.3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7,338</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Eversheds Sutherland</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 Rating Available</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0.1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7,091</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Travel + Leisure Co.</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 / Ba3</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14.6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5,702</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Kimley-Horn and Associates, Inc</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 Rating Available</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11.8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5,608</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0.9</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7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Various</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400,490</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68.2</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9,123</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68.5</w:t>
            </w:r>
          </w:p>
        </w:tc>
      </w:tr>
      <w:tr>
        <w:trPr/>
        <w:tc>
          <w:tcPr>
            <w:tcW w:w="16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97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$587,446</w:t>
            </w:r>
          </w:p>
        </w:tc>
        <w:tc>
          <w:tcPr>
            <w:tcW w:w="12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13,323</w:t>
            </w:r>
          </w:p>
        </w:tc>
        <w:tc>
          <w:tcPr>
            <w:tcW w:w="5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3019"/>
        <w:gridCol w:w="2830"/>
        <w:gridCol w:w="4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Excludes leases executed at the out of service projects.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Credit rating may reflect the credit rating of the parent or a guarantor. The absence of a credit rating for a tenant is not an indication of the creditworthiness of the tenant; in most cases, the lack of a credit rating reflects that the tenant has not sought such a rating.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0"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Tenant Credit Rating &amp; Lease Distribution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Tenant Credit Rating        </w:t>
      </w:r>
    </w:p>
    <w:tbl>
      <w:tblPr>
        <w:tblW w:w="4138" w:type="dxa"/>
        <w:jc w:val="left"/>
        <w:tblInd w:w="0" w:type="dxa"/>
        <w:tblLayout w:type="fixed"/>
        <w:tblCellMar>
          <w:top w:w="28" w:type="dxa"/>
          <w:left w:w="28" w:type="dxa"/>
          <w:bottom w:w="28" w:type="dxa"/>
          <w:right w:w="28" w:type="dxa"/>
        </w:tblCellMar>
      </w:tblPr>
      <w:tblGrid>
        <w:gridCol w:w="462"/>
        <w:gridCol w:w="406"/>
        <w:gridCol w:w="407"/>
        <w:gridCol w:w="434"/>
        <w:gridCol w:w="434"/>
        <w:gridCol w:w="436"/>
        <w:gridCol w:w="455"/>
        <w:gridCol w:w="455"/>
        <w:gridCol w:w="649"/>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Rating Level </w:t>
            </w:r>
            <w:r>
              <w:rPr>
                <w:rFonts w:ascii="Arial;sans-serif" w:hAnsi="Arial;sans-serif"/>
                <w:b/>
                <w:color w:val="000000"/>
                <w:sz w:val="10"/>
              </w:rPr>
              <w:t>(1)</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S&amp;P / Moody's</w:t>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Annualized</w:t>
              <w:br/>
              <w:t>Lease Revenue</w:t>
              <w:br/>
              <w:t>(in thousands)</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Annualized Lease</w:t>
              <w:br/>
              <w:t>Revenue (%)</w:t>
            </w:r>
          </w:p>
        </w:tc>
      </w:tr>
      <w:tr>
        <w:trPr/>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AAA / Aaa</w:t>
            </w:r>
          </w:p>
        </w:tc>
        <w:tc>
          <w:tcPr>
            <w:tcW w:w="130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$15,125</w:t>
            </w:r>
          </w:p>
        </w:tc>
        <w:tc>
          <w:tcPr>
            <w:tcW w:w="155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 / Aa</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81,227</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13.8</w:t>
            </w:r>
          </w:p>
        </w:tc>
      </w:tr>
      <w:tr>
        <w:trPr/>
        <w:tc>
          <w:tcPr>
            <w:tcW w:w="12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 A</w:t>
            </w:r>
          </w:p>
        </w:tc>
        <w:tc>
          <w:tcPr>
            <w:tcW w:w="130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72,422</w:t>
            </w:r>
          </w:p>
        </w:tc>
        <w:tc>
          <w:tcPr>
            <w:tcW w:w="155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BBB / Baa</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49,280</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w:t>
            </w:r>
          </w:p>
        </w:tc>
      </w:tr>
      <w:tr>
        <w:trPr/>
        <w:tc>
          <w:tcPr>
            <w:tcW w:w="12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 / Ba</w:t>
            </w:r>
          </w:p>
        </w:tc>
        <w:tc>
          <w:tcPr>
            <w:tcW w:w="130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20,193</w:t>
            </w:r>
          </w:p>
        </w:tc>
        <w:tc>
          <w:tcPr>
            <w:tcW w:w="155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 / B</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30,660</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r>
      <w:tr>
        <w:trPr/>
        <w:tc>
          <w:tcPr>
            <w:tcW w:w="12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Below</w:t>
            </w:r>
          </w:p>
        </w:tc>
        <w:tc>
          <w:tcPr>
            <w:tcW w:w="130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376</w:t>
            </w:r>
          </w:p>
        </w:tc>
        <w:tc>
          <w:tcPr>
            <w:tcW w:w="155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Not rated</w:t>
            </w:r>
            <w:r>
              <w:rPr>
                <w:color w:val="000000"/>
              </w:rPr>
              <w:t xml:space="preserve"> </w:t>
            </w:r>
            <w:r>
              <w:rPr>
                <w:rFonts w:ascii="Arial;sans-serif" w:hAnsi="Arial;sans-serif"/>
                <w:b w:val="false"/>
                <w:color w:val="000000"/>
                <w:sz w:val="10"/>
              </w:rPr>
              <w:t>(2)</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318,163</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54.2</w:t>
            </w:r>
          </w:p>
        </w:tc>
      </w:tr>
      <w:tr>
        <w:trPr/>
        <w:tc>
          <w:tcPr>
            <w:tcW w:w="1275"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30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$587,446</w:t>
            </w:r>
          </w:p>
        </w:tc>
        <w:tc>
          <w:tcPr>
            <w:tcW w:w="155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r>
      <w:tr>
        <w:trPr/>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Lease Distribution</w:t>
      </w:r>
    </w:p>
    <w:tbl>
      <w:tblPr>
        <w:tblW w:w="10205" w:type="dxa"/>
        <w:jc w:val="left"/>
        <w:tblInd w:w="0" w:type="dxa"/>
        <w:tblLayout w:type="fixed"/>
        <w:tblCellMar>
          <w:top w:w="28" w:type="dxa"/>
          <w:left w:w="28" w:type="dxa"/>
          <w:bottom w:w="28" w:type="dxa"/>
          <w:right w:w="28" w:type="dxa"/>
        </w:tblCellMar>
      </w:tblPr>
      <w:tblGrid>
        <w:gridCol w:w="653"/>
        <w:gridCol w:w="559"/>
        <w:gridCol w:w="564"/>
        <w:gridCol w:w="492"/>
        <w:gridCol w:w="492"/>
        <w:gridCol w:w="494"/>
        <w:gridCol w:w="393"/>
        <w:gridCol w:w="393"/>
        <w:gridCol w:w="395"/>
        <w:gridCol w:w="427"/>
        <w:gridCol w:w="427"/>
        <w:gridCol w:w="429"/>
        <w:gridCol w:w="491"/>
        <w:gridCol w:w="491"/>
        <w:gridCol w:w="493"/>
        <w:gridCol w:w="443"/>
        <w:gridCol w:w="443"/>
        <w:gridCol w:w="445"/>
        <w:gridCol w:w="488"/>
        <w:gridCol w:w="488"/>
        <w:gridCol w:w="705"/>
      </w:tblGrid>
      <w:tr>
        <w:trPr/>
        <w:tc>
          <w:tcPr>
            <w:tcW w:w="6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Lease Size</w:t>
            </w:r>
          </w:p>
        </w:tc>
        <w:tc>
          <w:tcPr>
            <w:tcW w:w="14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Leases</w:t>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Leases (%)</w:t>
            </w:r>
          </w:p>
        </w:tc>
        <w:tc>
          <w:tcPr>
            <w:tcW w:w="12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Annualized</w:t>
              <w:br/>
              <w:t>Lease Revenue</w:t>
              <w:br/>
              <w:t>(in thousands)</w:t>
            </w:r>
          </w:p>
        </w:tc>
        <w:tc>
          <w:tcPr>
            <w:tcW w:w="1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Percentage of</w:t>
              <w:br/>
              <w:t>Annualized Lease</w:t>
              <w:br/>
              <w:t>Revenue (%)</w:t>
            </w:r>
          </w:p>
        </w:tc>
        <w:tc>
          <w:tcPr>
            <w:tcW w:w="13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Leased</w:t>
              <w:br/>
              <w:t>Square Footage</w:t>
              <w:br/>
              <w:t>(in thousands)</w:t>
            </w:r>
          </w:p>
        </w:tc>
        <w:tc>
          <w:tcPr>
            <w:tcW w:w="1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Leased</w:t>
              <w:br/>
              <w:t>Square Footage (%)</w:t>
            </w:r>
          </w:p>
        </w:tc>
      </w:tr>
      <w:tr>
        <w:trPr/>
        <w:tc>
          <w:tcPr>
            <w:tcW w:w="1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2,500 sf or Less </w:t>
            </w:r>
          </w:p>
        </w:tc>
        <w:tc>
          <w:tcPr>
            <w:tcW w:w="1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w:t>
            </w:r>
          </w:p>
        </w:tc>
        <w:tc>
          <w:tcPr>
            <w:tcW w:w="11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33.7</w:t>
            </w:r>
          </w:p>
        </w:tc>
        <w:tc>
          <w:tcPr>
            <w:tcW w:w="128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$30,896</w:t>
            </w:r>
          </w:p>
        </w:tc>
        <w:tc>
          <w:tcPr>
            <w:tcW w:w="14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133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252</w:t>
            </w:r>
          </w:p>
        </w:tc>
        <w:tc>
          <w:tcPr>
            <w:tcW w:w="16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2,501 - 10,000 sf</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391</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39.6</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86,619</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14.7</w:t>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2,055</w:t>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15.4</w:t>
            </w:r>
          </w:p>
        </w:tc>
      </w:tr>
      <w:tr>
        <w:trPr/>
        <w:tc>
          <w:tcPr>
            <w:tcW w:w="17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10,001 - 20,000 sf</w:t>
            </w:r>
          </w:p>
        </w:tc>
        <w:tc>
          <w:tcPr>
            <w:tcW w:w="1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w:t>
            </w:r>
          </w:p>
        </w:tc>
        <w:tc>
          <w:tcPr>
            <w:tcW w:w="11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128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60,024</w:t>
            </w:r>
          </w:p>
        </w:tc>
        <w:tc>
          <w:tcPr>
            <w:tcW w:w="14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133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1,431</w:t>
            </w:r>
          </w:p>
        </w:tc>
        <w:tc>
          <w:tcPr>
            <w:tcW w:w="16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20,001 - 40,000 sf</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90,918</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2,218</w:t>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16.7</w:t>
            </w:r>
          </w:p>
        </w:tc>
      </w:tr>
      <w:tr>
        <w:trPr/>
        <w:tc>
          <w:tcPr>
            <w:tcW w:w="17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40,001 - 100,000 sf</w:t>
            </w:r>
          </w:p>
        </w:tc>
        <w:tc>
          <w:tcPr>
            <w:tcW w:w="1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11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c>
          <w:tcPr>
            <w:tcW w:w="128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141,546</w:t>
            </w:r>
          </w:p>
        </w:tc>
        <w:tc>
          <w:tcPr>
            <w:tcW w:w="14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w:t>
            </w:r>
          </w:p>
        </w:tc>
        <w:tc>
          <w:tcPr>
            <w:tcW w:w="133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3,200</w:t>
            </w:r>
          </w:p>
        </w:tc>
        <w:tc>
          <w:tcPr>
            <w:tcW w:w="16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than 100,000 sf</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177,443</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30.2</w:t>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4,167</w:t>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w:t>
            </w:r>
          </w:p>
        </w:tc>
      </w:tr>
      <w:tr>
        <w:trPr/>
        <w:tc>
          <w:tcPr>
            <w:tcW w:w="177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478"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988</w:t>
            </w:r>
          </w:p>
        </w:tc>
        <w:tc>
          <w:tcPr>
            <w:tcW w:w="118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283"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$587,446</w:t>
            </w:r>
          </w:p>
        </w:tc>
        <w:tc>
          <w:tcPr>
            <w:tcW w:w="1475"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33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13,323</w:t>
            </w:r>
          </w:p>
        </w:tc>
        <w:tc>
          <w:tcPr>
            <w:tcW w:w="168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r>
      <w:tr>
        <w:trPr/>
        <w:tc>
          <w:tcPr>
            <w:tcW w:w="17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96"/>
        <w:gridCol w:w="2838"/>
        <w:gridCol w:w="4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Credit rating may reflect the credit rating of the parent or a guarantor. Where differences exist between the Standard &amp; Poor's credit rating and the Moody's credit rating for a tenant, the higher credit rating is selected for this analysis.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 classification of a tenant as "not rated" is not an indication of the creditworthiness of the tenant; in most cases, the lack of a credit rating reflects that the tenant has not sought such a rating. Included in this category are such tenants as Ernst &amp; Young, BDO, KPMG, and RaceTrac Petroleum.</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1"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Industry Diversification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and square footage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7"/>
        <w:gridCol w:w="987"/>
        <w:gridCol w:w="1002"/>
        <w:gridCol w:w="288"/>
        <w:gridCol w:w="281"/>
        <w:gridCol w:w="283"/>
        <w:gridCol w:w="446"/>
        <w:gridCol w:w="446"/>
        <w:gridCol w:w="448"/>
        <w:gridCol w:w="425"/>
        <w:gridCol w:w="425"/>
        <w:gridCol w:w="426"/>
        <w:gridCol w:w="218"/>
        <w:gridCol w:w="211"/>
        <w:gridCol w:w="211"/>
        <w:gridCol w:w="211"/>
        <w:gridCol w:w="211"/>
        <w:gridCol w:w="212"/>
        <w:gridCol w:w="254"/>
        <w:gridCol w:w="254"/>
        <w:gridCol w:w="258"/>
        <w:gridCol w:w="410"/>
        <w:gridCol w:w="410"/>
        <w:gridCol w:w="591"/>
      </w:tblGrid>
      <w:tr>
        <w:trPr/>
        <w:tc>
          <w:tcPr>
            <w:tcW w:w="129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Leased</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w:t>
            </w:r>
          </w:p>
        </w:tc>
      </w:tr>
      <w:tr>
        <w:trPr/>
        <w:tc>
          <w:tcPr>
            <w:tcW w:w="3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 Total</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Annualized Lease</w:t>
            </w:r>
          </w:p>
        </w:tc>
        <w:tc>
          <w:tcPr>
            <w:tcW w:w="12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Annualized Lease</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w:t>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Leased</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Industry</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Tenants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Tenants (%)</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 (ALR)</w:t>
            </w:r>
          </w:p>
        </w:tc>
        <w:tc>
          <w:tcPr>
            <w:tcW w:w="12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Footage</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Footage (%)</w:t>
            </w:r>
          </w:p>
        </w:tc>
      </w:tr>
      <w:tr>
        <w:trPr/>
        <w:tc>
          <w:tcPr>
            <w:tcW w:w="328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Services</w:t>
            </w:r>
          </w:p>
        </w:tc>
        <w:tc>
          <w:tcPr>
            <w:tcW w:w="852"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w:t>
            </w:r>
          </w:p>
        </w:tc>
        <w:tc>
          <w:tcPr>
            <w:tcW w:w="1340"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w:t>
            </w:r>
          </w:p>
        </w:tc>
        <w:tc>
          <w:tcPr>
            <w:tcW w:w="127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$94,154</w:t>
            </w:r>
          </w:p>
        </w:tc>
        <w:tc>
          <w:tcPr>
            <w:tcW w:w="640"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w:t>
            </w:r>
          </w:p>
        </w:tc>
        <w:tc>
          <w:tcPr>
            <w:tcW w:w="63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2,237</w:t>
            </w:r>
          </w:p>
        </w:tc>
        <w:tc>
          <w:tcPr>
            <w:tcW w:w="141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Engineering, Accounting, Research, Management &amp; Related Services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75,553</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1,717</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Services</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62,869</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1,418</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Governmental Entity </w:t>
            </w:r>
            <w:r>
              <w:rPr>
                <w:rFonts w:ascii="Arial;sans-serif" w:hAnsi="Arial;sans-serif"/>
                <w:b w:val="false"/>
                <w:color w:val="000000"/>
                <w:sz w:val="10"/>
              </w:rPr>
              <w:t>(1)</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50,983</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917</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28,210</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781</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Depository Institutions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25,285</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656</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Holding and Other Investment Offices</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23,882</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and Gas Extraction</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22,040</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587</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Automotive Repair, Services &amp; Parking</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18,327</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Miscellaneous Retail</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17,497</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334</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Agents, Brokers &amp; Services</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16,714</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399</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&amp; Commodity Brokers, Dealers, Exchanges &amp; Services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16,661</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397</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Health Services</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13,800</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Membership Organizations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12,552</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246</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Carriers</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10,253</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214</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27.9</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98,666</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16.9</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2,522</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w:t>
            </w:r>
          </w:p>
        </w:tc>
      </w:tr>
      <w:tr>
        <w:trPr/>
        <w:tc>
          <w:tcPr>
            <w:tcW w:w="328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852"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766</w:t>
            </w:r>
          </w:p>
        </w:tc>
        <w:tc>
          <w:tcPr>
            <w:tcW w:w="1340"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27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$587,446</w:t>
            </w:r>
          </w:p>
        </w:tc>
        <w:tc>
          <w:tcPr>
            <w:tcW w:w="640"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634"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13,323</w:t>
            </w:r>
          </w:p>
        </w:tc>
        <w:tc>
          <w:tcPr>
            <w:tcW w:w="141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56" w:type="dxa"/>
        <w:jc w:val="center"/>
        <w:tblInd w:w="0" w:type="dxa"/>
        <w:tblLayout w:type="fixed"/>
        <w:tblCellMar>
          <w:top w:w="28" w:type="dxa"/>
          <w:left w:w="28" w:type="dxa"/>
          <w:bottom w:w="28" w:type="dxa"/>
          <w:right w:w="28" w:type="dxa"/>
        </w:tblCellMar>
      </w:tblPr>
      <w:tblGrid>
        <w:gridCol w:w="124"/>
        <w:gridCol w:w="109"/>
        <w:gridCol w:w="109"/>
        <w:gridCol w:w="2457"/>
        <w:gridCol w:w="2457"/>
        <w:gridCol w:w="35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8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Comprised of all levels of governmental entities, including federal (0.7% of ALR), state (4.8% of ALR), and city / local (3.2% of ALR).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2"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Geographic Diversification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and square footage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6"/>
        <w:gridCol w:w="576"/>
        <w:gridCol w:w="580"/>
        <w:gridCol w:w="277"/>
        <w:gridCol w:w="277"/>
        <w:gridCol w:w="278"/>
        <w:gridCol w:w="388"/>
        <w:gridCol w:w="388"/>
        <w:gridCol w:w="390"/>
        <w:gridCol w:w="416"/>
        <w:gridCol w:w="416"/>
        <w:gridCol w:w="417"/>
        <w:gridCol w:w="1083"/>
        <w:gridCol w:w="389"/>
        <w:gridCol w:w="389"/>
        <w:gridCol w:w="391"/>
        <w:gridCol w:w="437"/>
        <w:gridCol w:w="437"/>
        <w:gridCol w:w="439"/>
        <w:gridCol w:w="367"/>
        <w:gridCol w:w="367"/>
        <w:gridCol w:w="369"/>
        <w:gridCol w:w="136"/>
        <w:gridCol w:w="136"/>
        <w:gridCol w:w="206"/>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Projects</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Annualized</w:t>
              <w:br/>
              <w:t>Lease Revenue</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Percentage of</w:t>
              <w:br/>
              <w:t>Annualized Lease</w:t>
              <w:br/>
              <w:t>Revenue (%)</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Rentable</w:t>
              <w:br/>
              <w:t>Square Footage</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Rentable Square</w:t>
              <w:br/>
              <w:t>Footage (%)</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Leased Square Footage</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Leased (%)</w:t>
            </w:r>
          </w:p>
        </w:tc>
        <w:tc>
          <w:tcPr>
            <w:tcW w:w="478" w:type="dxa"/>
            <w:gridSpan w:val="3"/>
            <w:tcBorders/>
          </w:tcPr>
          <w:p>
            <w:pPr>
              <w:pStyle w:val="TableContents"/>
              <w:bidi w:val="0"/>
              <w:spacing w:before="0" w:after="283"/>
              <w:jc w:val="left"/>
              <w:rPr>
                <w:sz w:val="4"/>
                <w:szCs w:val="4"/>
              </w:rPr>
            </w:pPr>
            <w:r>
              <w:rPr>
                <w:sz w:val="4"/>
                <w:szCs w:val="4"/>
              </w:rPr>
            </w:r>
          </w:p>
        </w:tc>
      </w:tr>
      <w:tr>
        <w:trPr/>
        <w:tc>
          <w:tcPr>
            <w:tcW w:w="1812"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832"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116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$190,454</w:t>
            </w:r>
          </w:p>
        </w:tc>
        <w:tc>
          <w:tcPr>
            <w:tcW w:w="124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32.4</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4,732</w:t>
            </w:r>
          </w:p>
        </w:tc>
        <w:tc>
          <w:tcPr>
            <w:tcW w:w="1313"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31.7</w:t>
            </w:r>
          </w:p>
        </w:tc>
        <w:tc>
          <w:tcPr>
            <w:tcW w:w="1103"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4,455</w:t>
            </w:r>
          </w:p>
        </w:tc>
        <w:tc>
          <w:tcPr>
            <w:tcW w:w="478"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94.1</w:t>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114,548</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2,822</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18.9</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2,596</w:t>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w:t>
            </w:r>
          </w:p>
        </w:tc>
      </w:tr>
      <w:tr>
        <w:trPr/>
        <w:tc>
          <w:tcPr>
            <w:tcW w:w="18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Orlando</w:t>
            </w:r>
          </w:p>
        </w:tc>
        <w:tc>
          <w:tcPr>
            <w:tcW w:w="83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1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69,889</w:t>
            </w:r>
          </w:p>
        </w:tc>
        <w:tc>
          <w:tcPr>
            <w:tcW w:w="124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1,754</w:t>
            </w:r>
          </w:p>
        </w:tc>
        <w:tc>
          <w:tcPr>
            <w:tcW w:w="13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w:t>
            </w:r>
          </w:p>
        </w:tc>
        <w:tc>
          <w:tcPr>
            <w:tcW w:w="110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1,663</w:t>
            </w:r>
          </w:p>
        </w:tc>
        <w:tc>
          <w:tcPr>
            <w:tcW w:w="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94.8</w:t>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Northern Virginia / Washington, D.C.</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58,077</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1,584</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1,100</w:t>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69.4</w:t>
            </w:r>
          </w:p>
        </w:tc>
      </w:tr>
      <w:tr>
        <w:trPr/>
        <w:tc>
          <w:tcPr>
            <w:tcW w:w="18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w:t>
            </w:r>
          </w:p>
        </w:tc>
        <w:tc>
          <w:tcPr>
            <w:tcW w:w="83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1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54,588</w:t>
            </w:r>
          </w:p>
        </w:tc>
        <w:tc>
          <w:tcPr>
            <w:tcW w:w="124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1,047</w:t>
            </w:r>
          </w:p>
        </w:tc>
        <w:tc>
          <w:tcPr>
            <w:tcW w:w="13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110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964</w:t>
            </w:r>
          </w:p>
        </w:tc>
        <w:tc>
          <w:tcPr>
            <w:tcW w:w="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92.1</w:t>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44,701</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1,434</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1,193</w:t>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83.2</w:t>
            </w:r>
          </w:p>
        </w:tc>
      </w:tr>
      <w:tr>
        <w:trPr/>
        <w:tc>
          <w:tcPr>
            <w:tcW w:w="18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w:t>
            </w:r>
          </w:p>
        </w:tc>
        <w:tc>
          <w:tcPr>
            <w:tcW w:w="83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1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34,248</w:t>
            </w:r>
          </w:p>
        </w:tc>
        <w:tc>
          <w:tcPr>
            <w:tcW w:w="124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936</w:t>
            </w:r>
          </w:p>
        </w:tc>
        <w:tc>
          <w:tcPr>
            <w:tcW w:w="13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c>
          <w:tcPr>
            <w:tcW w:w="110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792</w:t>
            </w:r>
          </w:p>
        </w:tc>
        <w:tc>
          <w:tcPr>
            <w:tcW w:w="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84.6</w:t>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20,941</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614</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w:t>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91.2</w:t>
            </w:r>
          </w:p>
        </w:tc>
      </w:tr>
      <w:tr>
        <w:trPr/>
        <w:tc>
          <w:tcPr>
            <w:tcW w:w="1812"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 Weighted Average</w:t>
            </w:r>
          </w:p>
        </w:tc>
        <w:tc>
          <w:tcPr>
            <w:tcW w:w="832"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29</w:t>
            </w:r>
          </w:p>
        </w:tc>
        <w:tc>
          <w:tcPr>
            <w:tcW w:w="1166"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$587,446</w:t>
            </w:r>
          </w:p>
        </w:tc>
        <w:tc>
          <w:tcPr>
            <w:tcW w:w="1249"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14,923</w:t>
            </w:r>
          </w:p>
        </w:tc>
        <w:tc>
          <w:tcPr>
            <w:tcW w:w="1313"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103"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13,323</w:t>
            </w:r>
          </w:p>
        </w:tc>
        <w:tc>
          <w:tcPr>
            <w:tcW w:w="478"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89.3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9582150" cy="3590925"/>
            <wp:effectExtent l="0" t="0" r="0" b="0"/>
            <wp:docPr id="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7" descr=""/>
                    <pic:cNvPicPr>
                      <a:picLocks noChangeAspect="1" noChangeArrowheads="1"/>
                    </pic:cNvPicPr>
                  </pic:nvPicPr>
                  <pic:blipFill>
                    <a:blip r:embed="rId8"/>
                    <a:stretch>
                      <a:fillRect/>
                    </a:stretch>
                  </pic:blipFill>
                  <pic:spPr bwMode="auto">
                    <a:xfrm>
                      <a:off x="0" y="0"/>
                      <a:ext cx="9582150" cy="3590925"/>
                    </a:xfrm>
                    <a:prstGeom prst="rect">
                      <a:avLst/>
                    </a:prstGeom>
                  </pic:spPr>
                </pic:pic>
              </a:graphicData>
            </a:graphic>
          </wp:inline>
        </w:drawing>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4"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Geographic Diversification by Location Type</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(square footage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238" w:type="dxa"/>
        <w:jc w:val="left"/>
        <w:tblInd w:w="0" w:type="dxa"/>
        <w:tblLayout w:type="fixed"/>
        <w:tblCellMar>
          <w:top w:w="28" w:type="dxa"/>
          <w:left w:w="28" w:type="dxa"/>
          <w:bottom w:w="28" w:type="dxa"/>
          <w:right w:w="28" w:type="dxa"/>
        </w:tblCellMar>
      </w:tblPr>
      <w:tblGrid>
        <w:gridCol w:w="402"/>
        <w:gridCol w:w="353"/>
        <w:gridCol w:w="356"/>
        <w:gridCol w:w="109"/>
        <w:gridCol w:w="109"/>
        <w:gridCol w:w="109"/>
        <w:gridCol w:w="109"/>
        <w:gridCol w:w="250"/>
        <w:gridCol w:w="250"/>
        <w:gridCol w:w="251"/>
        <w:gridCol w:w="350"/>
        <w:gridCol w:w="350"/>
        <w:gridCol w:w="351"/>
        <w:gridCol w:w="290"/>
        <w:gridCol w:w="290"/>
        <w:gridCol w:w="291"/>
        <w:gridCol w:w="330"/>
        <w:gridCol w:w="330"/>
        <w:gridCol w:w="331"/>
        <w:gridCol w:w="109"/>
        <w:gridCol w:w="109"/>
        <w:gridCol w:w="109"/>
        <w:gridCol w:w="250"/>
        <w:gridCol w:w="250"/>
        <w:gridCol w:w="251"/>
        <w:gridCol w:w="350"/>
        <w:gridCol w:w="350"/>
        <w:gridCol w:w="351"/>
        <w:gridCol w:w="290"/>
        <w:gridCol w:w="290"/>
        <w:gridCol w:w="291"/>
        <w:gridCol w:w="330"/>
        <w:gridCol w:w="330"/>
        <w:gridCol w:w="331"/>
        <w:gridCol w:w="109"/>
        <w:gridCol w:w="109"/>
        <w:gridCol w:w="109"/>
        <w:gridCol w:w="250"/>
        <w:gridCol w:w="250"/>
        <w:gridCol w:w="251"/>
        <w:gridCol w:w="350"/>
        <w:gridCol w:w="350"/>
        <w:gridCol w:w="351"/>
        <w:gridCol w:w="290"/>
        <w:gridCol w:w="290"/>
        <w:gridCol w:w="291"/>
        <w:gridCol w:w="303"/>
        <w:gridCol w:w="303"/>
        <w:gridCol w:w="430"/>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URBAN INFILL / SUBURBAN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Projects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Percentage</w:t>
              <w:br/>
              <w:t>of</w:t>
              <w:br/>
              <w:t>Annualized</w:t>
              <w:br/>
              <w:t>Lease</w:t>
              <w:br/>
              <w:t>Revenue</w:t>
              <w:br/>
              <w:t>(%)</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Rentable</w:t>
              <w:br/>
              <w:t>Square</w:t>
              <w:br/>
              <w:t>Footage</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w:t>
              <w:br/>
              <w:t>of Rentable</w:t>
              <w:br/>
              <w:t>Square</w:t>
              <w:br/>
              <w:t>Footage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Projects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Percentage</w:t>
              <w:br/>
              <w:t>of</w:t>
              <w:br/>
              <w:t>Annualized</w:t>
              <w:br/>
              <w:t>Lease</w:t>
              <w:br/>
              <w:t>Revenue</w:t>
              <w:br/>
              <w:t>(%)</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Rentable</w:t>
              <w:br/>
              <w:t>Square</w:t>
              <w:br/>
              <w:t>Footage</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w:t>
              <w:br/>
              <w:t>of Rentable</w:t>
              <w:br/>
              <w:t>Square</w:t>
              <w:br/>
              <w:t>Footage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Projects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Percentage</w:t>
              <w:br/>
              <w:t>of</w:t>
              <w:br/>
              <w:t>Annualized</w:t>
              <w:br/>
              <w:t>Lease</w:t>
              <w:br/>
              <w:t>Revenue</w:t>
              <w:br/>
              <w:t>(%)</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Rentable</w:t>
              <w:br/>
              <w:t>Square</w:t>
              <w:br/>
              <w:t>Footage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w:t>
              <w:br/>
              <w:t>of Rentable</w:t>
              <w:br/>
              <w:t>Square</w:t>
              <w:br/>
              <w:t>Footage</w:t>
              <w:br/>
              <w:t>(%)</w:t>
            </w:r>
          </w:p>
        </w:tc>
      </w:tr>
      <w:tr>
        <w:trPr/>
        <w:tc>
          <w:tcPr>
            <w:tcW w:w="111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11.0</w:t>
            </w:r>
          </w:p>
        </w:tc>
        <w:tc>
          <w:tcPr>
            <w:tcW w:w="87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1,305</w:t>
            </w:r>
          </w:p>
        </w:tc>
        <w:tc>
          <w:tcPr>
            <w:tcW w:w="99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5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21.4</w:t>
            </w:r>
          </w:p>
        </w:tc>
        <w:tc>
          <w:tcPr>
            <w:tcW w:w="87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3,427</w:t>
            </w:r>
          </w:p>
        </w:tc>
        <w:tc>
          <w:tcPr>
            <w:tcW w:w="99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105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32.4</w:t>
            </w:r>
          </w:p>
        </w:tc>
        <w:tc>
          <w:tcPr>
            <w:tcW w:w="87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4,732</w:t>
            </w:r>
          </w:p>
        </w:tc>
        <w:tc>
          <w:tcPr>
            <w:tcW w:w="103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31.7</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2,822</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18.9</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Orlando</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1,445</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309</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1,754</w:t>
            </w:r>
          </w:p>
        </w:tc>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Northern Virginia / Washington, D.C.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687</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897</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1,584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1,047</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1,047</w:t>
            </w:r>
          </w:p>
        </w:tc>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504</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1,434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936</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936</w:t>
            </w:r>
          </w:p>
        </w:tc>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614</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w:t>
            </w:r>
          </w:p>
        </w:tc>
        <w:tc>
          <w:tcPr>
            <w:tcW w:w="75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39.2</w:t>
            </w:r>
          </w:p>
        </w:tc>
        <w:tc>
          <w:tcPr>
            <w:tcW w:w="105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5,414</w:t>
            </w:r>
          </w:p>
        </w:tc>
        <w:tc>
          <w:tcPr>
            <w:tcW w:w="87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36.3</w:t>
            </w:r>
          </w:p>
        </w:tc>
        <w:tc>
          <w:tcPr>
            <w:tcW w:w="99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w:t>
            </w:r>
          </w:p>
        </w:tc>
        <w:tc>
          <w:tcPr>
            <w:tcW w:w="75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60.8</w:t>
            </w:r>
          </w:p>
        </w:tc>
        <w:tc>
          <w:tcPr>
            <w:tcW w:w="105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9,509</w:t>
            </w:r>
          </w:p>
        </w:tc>
        <w:tc>
          <w:tcPr>
            <w:tcW w:w="87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63.7</w:t>
            </w:r>
          </w:p>
        </w:tc>
        <w:tc>
          <w:tcPr>
            <w:tcW w:w="99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29</w:t>
            </w:r>
          </w:p>
        </w:tc>
        <w:tc>
          <w:tcPr>
            <w:tcW w:w="75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05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14,923</w:t>
            </w:r>
          </w:p>
        </w:tc>
        <w:tc>
          <w:tcPr>
            <w:tcW w:w="871" w:type="dxa"/>
            <w:gridSpan w:val="3"/>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036"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5"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Portfolio Detail</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 thousands)</w:t>
      </w:r>
    </w:p>
    <w:tbl>
      <w:tblPr>
        <w:tblW w:w="11361" w:type="dxa"/>
        <w:jc w:val="left"/>
        <w:tblInd w:w="0" w:type="dxa"/>
        <w:tblLayout w:type="fixed"/>
        <w:tblCellMar>
          <w:top w:w="28" w:type="dxa"/>
          <w:left w:w="28" w:type="dxa"/>
          <w:bottom w:w="28" w:type="dxa"/>
          <w:right w:w="28" w:type="dxa"/>
        </w:tblCellMar>
      </w:tblPr>
      <w:tblGrid>
        <w:gridCol w:w="449"/>
        <w:gridCol w:w="315"/>
        <w:gridCol w:w="317"/>
        <w:gridCol w:w="360"/>
        <w:gridCol w:w="360"/>
        <w:gridCol w:w="361"/>
        <w:gridCol w:w="360"/>
        <w:gridCol w:w="360"/>
        <w:gridCol w:w="361"/>
        <w:gridCol w:w="360"/>
        <w:gridCol w:w="360"/>
        <w:gridCol w:w="361"/>
        <w:gridCol w:w="325"/>
        <w:gridCol w:w="325"/>
        <w:gridCol w:w="326"/>
        <w:gridCol w:w="290"/>
        <w:gridCol w:w="290"/>
        <w:gridCol w:w="291"/>
        <w:gridCol w:w="270"/>
        <w:gridCol w:w="270"/>
        <w:gridCol w:w="271"/>
        <w:gridCol w:w="303"/>
        <w:gridCol w:w="253"/>
        <w:gridCol w:w="382"/>
        <w:gridCol w:w="301"/>
        <w:gridCol w:w="255"/>
        <w:gridCol w:w="601"/>
        <w:gridCol w:w="349"/>
        <w:gridCol w:w="207"/>
        <w:gridCol w:w="487"/>
        <w:gridCol w:w="416"/>
        <w:gridCol w:w="335"/>
        <w:gridCol w:w="33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In-Service Assets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Energy Star Certification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LEED Certification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BOMA 360 Certification</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Ownership</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Buildings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Rentable Square Footage Owned </w:t>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Leased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Commenced Leased</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6"/>
              </w:rPr>
              <w:t xml:space="preserve">Percent Economic Leased </w:t>
            </w:r>
            <w:r>
              <w:rPr>
                <w:rFonts w:ascii="Arial;sans-serif" w:hAnsi="Arial;sans-serif"/>
                <w:b/>
                <w:color w:val="000000"/>
                <w:sz w:val="10"/>
              </w:rPr>
              <w:t>(1)</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Annualized Lease Revenues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Atlanta</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999 Peachtree</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P</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627</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25,741 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1180 Peachtree</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P</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678</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38,849 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on the Park</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P</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2,179</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77,709 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Glenridge Highlands One and Two</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713</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24,500 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1155 Perimeter Center West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377</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Medici</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158</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6,333 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4,732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94.1</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90.3</w:t>
            </w: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86.5</w:t>
            </w: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190,454</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Boston</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 Wall</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Wayside Office Park</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18,239 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25 Mall</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936</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84.6</w:t>
            </w:r>
            <w:r>
              <w:rPr>
                <w:color w:val="000000"/>
              </w:rPr>
              <w:t>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w:t>
            </w:r>
            <w:r>
              <w:rPr>
                <w:color w:val="000000"/>
              </w:rPr>
              <w:t>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w:t>
            </w:r>
            <w:r>
              <w:rPr>
                <w:color w:val="000000"/>
              </w:rPr>
              <w:t>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34,248</w:t>
            </w:r>
            <w:r>
              <w:rPr>
                <w:color w:val="000000"/>
              </w:rPr>
              <w:t>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Dallas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Towers</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1,397</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62,570 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Park Place on Turtle Creek</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183</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6565 MacArthur</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255</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8,414 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Las Colinas Connection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605</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Interlink at Las Colinas</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382</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12,833 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2,822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92.0</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80.6</w:t>
            </w: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79.8</w:t>
            </w: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114,548</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Minneapolis</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Bancorp Center</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Crescent Ridge II</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295</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11,495 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Norman Pointe I</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209</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1,434</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83.2</w:t>
            </w:r>
            <w:r>
              <w:rPr>
                <w:color w:val="000000"/>
              </w:rPr>
              <w:t>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79.2</w:t>
            </w:r>
            <w:r>
              <w:rPr>
                <w:color w:val="000000"/>
              </w:rPr>
              <w:t>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75.9</w:t>
            </w:r>
            <w:r>
              <w:rPr>
                <w:color w:val="000000"/>
              </w:rPr>
              <w:t>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44,701</w:t>
            </w:r>
            <w:r>
              <w:rPr>
                <w:color w:val="000000"/>
              </w:rPr>
              <w:t>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New York</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 Broad</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1,047</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54,588 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1,047</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92.1</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92.1</w:t>
            </w: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85.7</w:t>
            </w: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54,588</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Orlando</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200 South Orange at The Exchange</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646</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26,424 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CNL Center I and II</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P</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617</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26,370 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501 West Church</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400 and 500 TownPark</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309</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11,389 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1,754</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94.8</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94.1</w:t>
            </w: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89.3</w:t>
            </w: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69,889</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6"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tbl>
      <w:tblPr>
        <w:tblW w:w="11496" w:type="dxa"/>
        <w:jc w:val="left"/>
        <w:tblInd w:w="0" w:type="dxa"/>
        <w:tblLayout w:type="fixed"/>
        <w:tblCellMar>
          <w:top w:w="28" w:type="dxa"/>
          <w:left w:w="28" w:type="dxa"/>
          <w:bottom w:w="28" w:type="dxa"/>
          <w:right w:w="28" w:type="dxa"/>
        </w:tblCellMar>
      </w:tblPr>
      <w:tblGrid>
        <w:gridCol w:w="565"/>
        <w:gridCol w:w="325"/>
        <w:gridCol w:w="326"/>
        <w:gridCol w:w="360"/>
        <w:gridCol w:w="360"/>
        <w:gridCol w:w="361"/>
        <w:gridCol w:w="360"/>
        <w:gridCol w:w="360"/>
        <w:gridCol w:w="361"/>
        <w:gridCol w:w="360"/>
        <w:gridCol w:w="360"/>
        <w:gridCol w:w="361"/>
        <w:gridCol w:w="325"/>
        <w:gridCol w:w="325"/>
        <w:gridCol w:w="326"/>
        <w:gridCol w:w="290"/>
        <w:gridCol w:w="290"/>
        <w:gridCol w:w="291"/>
        <w:gridCol w:w="270"/>
        <w:gridCol w:w="270"/>
        <w:gridCol w:w="271"/>
        <w:gridCol w:w="303"/>
        <w:gridCol w:w="253"/>
        <w:gridCol w:w="382"/>
        <w:gridCol w:w="301"/>
        <w:gridCol w:w="255"/>
        <w:gridCol w:w="601"/>
        <w:gridCol w:w="349"/>
        <w:gridCol w:w="207"/>
        <w:gridCol w:w="487"/>
        <w:gridCol w:w="416"/>
        <w:gridCol w:w="335"/>
        <w:gridCol w:w="3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In-Service Assets (continued)</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Energy Star Certification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LEED Certification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BOMA 360 Certification</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Ownership</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Buildings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Rentable Square Footage Owned</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Leased</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Commenced Leased</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6"/>
              </w:rPr>
              <w:t xml:space="preserve">Percent Economic Leased </w:t>
            </w:r>
            <w:r>
              <w:rPr>
                <w:rFonts w:ascii="Arial;sans-serif" w:hAnsi="Arial;sans-serif"/>
                <w:b/>
                <w:color w:val="000000"/>
                <w:sz w:val="10"/>
              </w:rPr>
              <w:t>(1)</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Annualized Lease Revenues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Northern Virginia / Washington, D.C.</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4250 North Fairfax</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308</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Arlington Gateway</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3100 Clarendon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1201 and 1225 Eye Street</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(2)</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478</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19,816 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400 Virginia</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P</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209</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1,584</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69.4</w:t>
            </w:r>
            <w:r>
              <w:rPr>
                <w:color w:val="000000"/>
              </w:rPr>
              <w:t>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65.9</w:t>
            </w:r>
            <w:r>
              <w:rPr>
                <w:color w:val="000000"/>
              </w:rPr>
              <w:t>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w:t>
            </w:r>
            <w:r>
              <w:rPr>
                <w:color w:val="000000"/>
              </w:rPr>
              <w:t>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58,077</w:t>
            </w:r>
            <w:r>
              <w:rPr>
                <w:color w:val="000000"/>
              </w:rPr>
              <w:t>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Enclave Place</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12,334 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1430 Enclave</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614</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20,941</w:t>
            </w:r>
            <w:r>
              <w:rPr>
                <w:color w:val="000000"/>
              </w:rPr>
              <w:t>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left w:val="single" w:sz="8" w:space="0" w:color="000000"/>
            </w:tcBorders>
            <w:shd w:fill="F8F4F1" w:val="clear"/>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In-Service Total</w:t>
            </w:r>
          </w:p>
        </w:tc>
        <w:tc>
          <w:tcPr>
            <w:tcW w:w="108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43</w:t>
            </w:r>
          </w:p>
        </w:tc>
        <w:tc>
          <w:tcPr>
            <w:tcW w:w="81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14,923</w:t>
            </w:r>
          </w:p>
        </w:tc>
        <w:tc>
          <w:tcPr>
            <w:tcW w:w="55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89.3</w:t>
            </w:r>
            <w:r>
              <w:rPr>
                <w:color w:val="000000"/>
              </w:rPr>
              <w:t> </w:t>
            </w:r>
          </w:p>
        </w:tc>
        <w:tc>
          <w:tcPr>
            <w:tcW w:w="382"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85.0</w:t>
            </w:r>
            <w:r>
              <w:rPr>
                <w:color w:val="000000"/>
              </w:rPr>
              <w:t> </w:t>
            </w:r>
          </w:p>
        </w:tc>
        <w:tc>
          <w:tcPr>
            <w:tcW w:w="60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81.9</w:t>
            </w:r>
            <w:r>
              <w:rPr>
                <w:color w:val="000000"/>
              </w:rPr>
              <w:t> </w:t>
            </w:r>
          </w:p>
        </w:tc>
        <w:tc>
          <w:tcPr>
            <w:tcW w:w="487"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587,446</w:t>
            </w:r>
            <w:r>
              <w:rPr>
                <w:color w:val="000000"/>
              </w:rPr>
              <w:t> </w:t>
            </w:r>
          </w:p>
        </w:tc>
        <w:tc>
          <w:tcPr>
            <w:tcW w:w="336" w:type="dxa"/>
            <w:tcBorders>
              <w:top w:val="single" w:sz="8" w:space="0" w:color="000000"/>
              <w:right w:val="single" w:sz="8" w:space="0" w:color="000000"/>
            </w:tcBorders>
            <w:shd w:fill="F8F4F1"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351" w:type="dxa"/>
        <w:jc w:val="left"/>
        <w:tblInd w:w="0" w:type="dxa"/>
        <w:tblLayout w:type="fixed"/>
        <w:tblCellMar>
          <w:top w:w="28" w:type="dxa"/>
          <w:left w:w="28" w:type="dxa"/>
          <w:bottom w:w="28" w:type="dxa"/>
          <w:right w:w="28" w:type="dxa"/>
        </w:tblCellMar>
      </w:tblPr>
      <w:tblGrid>
        <w:gridCol w:w="533"/>
        <w:gridCol w:w="468"/>
        <w:gridCol w:w="470"/>
        <w:gridCol w:w="109"/>
        <w:gridCol w:w="109"/>
        <w:gridCol w:w="318"/>
        <w:gridCol w:w="318"/>
        <w:gridCol w:w="325"/>
        <w:gridCol w:w="365"/>
        <w:gridCol w:w="365"/>
        <w:gridCol w:w="366"/>
        <w:gridCol w:w="245"/>
        <w:gridCol w:w="245"/>
        <w:gridCol w:w="246"/>
        <w:gridCol w:w="325"/>
        <w:gridCol w:w="325"/>
        <w:gridCol w:w="326"/>
        <w:gridCol w:w="290"/>
        <w:gridCol w:w="290"/>
        <w:gridCol w:w="291"/>
        <w:gridCol w:w="270"/>
        <w:gridCol w:w="270"/>
        <w:gridCol w:w="271"/>
        <w:gridCol w:w="303"/>
        <w:gridCol w:w="178"/>
        <w:gridCol w:w="382"/>
        <w:gridCol w:w="255"/>
        <w:gridCol w:w="255"/>
        <w:gridCol w:w="601"/>
        <w:gridCol w:w="274"/>
        <w:gridCol w:w="207"/>
        <w:gridCol w:w="487"/>
        <w:gridCol w:w="335"/>
        <w:gridCol w:w="335"/>
        <w:gridCol w:w="336"/>
        <w:gridCol w:w="109"/>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bookmarkStart w:id="0" w:name="i8137f97b72284a9fbc7a3411d7fdc13c_0-0-7-"/>
            <w:bookmarkEnd w:id="0"/>
            <w:r>
              <w:rPr>
                <w:rFonts w:ascii="Arial;sans-serif" w:hAnsi="Arial;sans-serif"/>
                <w:b/>
                <w:color w:val="000000"/>
                <w:sz w:val="18"/>
              </w:rPr>
              <w:t xml:space="preserve">Out-of-Service Redevelopment Projects </w:t>
            </w:r>
            <w:r>
              <w:rPr>
                <w:rFonts w:ascii="Arial;sans-serif" w:hAnsi="Arial;sans-serif"/>
                <w:b/>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Stabilization Date</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Current Basis </w:t>
              <w:br/>
              <w:t>(in millions)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Ownership</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Buildings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Rentable Square Footage Owned</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Leased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Commenced Leased</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6"/>
              </w:rPr>
              <w:t xml:space="preserve">Percent Economic Leased </w:t>
            </w:r>
            <w:r>
              <w:rPr>
                <w:rFonts w:ascii="Arial;sans-serif" w:hAnsi="Arial;sans-serif"/>
                <w:b/>
                <w:color w:val="000000"/>
                <w:sz w:val="10"/>
              </w:rPr>
              <w:t>(1)</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Annualized Lease Revenues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222 South Orange at The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Orlando</w:t>
            </w:r>
          </w:p>
        </w:tc>
        <w:tc>
          <w:tcPr>
            <w:tcW w:w="10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7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56.5</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w:t>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9320 Excelsior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Minneapolis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35.2</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Minneapolis</w:t>
            </w:r>
          </w:p>
        </w:tc>
        <w:tc>
          <w:tcPr>
            <w:tcW w:w="10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7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72.6</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397</w:t>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12,589 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op w:val="single" w:sz="8" w:space="0" w:color="000000"/>
              <w:left w:val="single" w:sz="8" w:space="0" w:color="000000"/>
              <w:bottom w:val="single" w:sz="8" w:space="0" w:color="000000"/>
            </w:tcBorders>
            <w:shd w:fill="F8F4F1" w:val="clear"/>
            <w:tcMar>
              <w:top w:w="30" w:type="dxa"/>
              <w:left w:w="14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Out-of-Service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164.3</w:t>
            </w:r>
          </w:p>
        </w:tc>
        <w:tc>
          <w:tcPr>
            <w:tcW w:w="976"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w:t>
            </w:r>
          </w:p>
        </w:tc>
        <w:tc>
          <w:tcPr>
            <w:tcW w:w="811" w:type="dxa"/>
            <w:gridSpan w:val="3"/>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794</w:t>
            </w:r>
          </w:p>
        </w:tc>
        <w:tc>
          <w:tcPr>
            <w:tcW w:w="48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75.5</w:t>
            </w:r>
            <w:r>
              <w:rPr>
                <w:color w:val="000000"/>
              </w:rPr>
              <w:t> </w:t>
            </w:r>
          </w:p>
        </w:tc>
        <w:tc>
          <w:tcPr>
            <w:tcW w:w="382"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10"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w:t>
            </w:r>
            <w:r>
              <w:rPr>
                <w:color w:val="000000"/>
              </w:rPr>
              <w:t> </w:t>
            </w:r>
          </w:p>
        </w:tc>
        <w:tc>
          <w:tcPr>
            <w:tcW w:w="601"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8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487"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670"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22,650</w:t>
            </w:r>
            <w:r>
              <w:rPr>
                <w:color w:val="000000"/>
              </w:rPr>
              <w:t> </w:t>
            </w:r>
          </w:p>
        </w:tc>
        <w:tc>
          <w:tcPr>
            <w:tcW w:w="336" w:type="dxa"/>
            <w:tcBorders>
              <w:top w:val="single" w:sz="8" w:space="0" w:color="000000"/>
              <w:bottom w:val="single" w:sz="8" w:space="0" w:color="000000"/>
              <w:right w:val="single" w:sz="8" w:space="0" w:color="000000"/>
            </w:tcBorders>
            <w:shd w:fill="F8F4F1"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048" w:type="dxa"/>
        <w:jc w:val="left"/>
        <w:tblInd w:w="0" w:type="dxa"/>
        <w:tblLayout w:type="fixed"/>
        <w:tblCellMar>
          <w:top w:w="28" w:type="dxa"/>
          <w:left w:w="28" w:type="dxa"/>
          <w:bottom w:w="28" w:type="dxa"/>
          <w:right w:w="28" w:type="dxa"/>
        </w:tblCellMar>
      </w:tblPr>
      <w:tblGrid>
        <w:gridCol w:w="457"/>
        <w:gridCol w:w="401"/>
        <w:gridCol w:w="402"/>
        <w:gridCol w:w="109"/>
        <w:gridCol w:w="109"/>
        <w:gridCol w:w="109"/>
        <w:gridCol w:w="109"/>
        <w:gridCol w:w="109"/>
        <w:gridCol w:w="109"/>
        <w:gridCol w:w="109"/>
        <w:gridCol w:w="109"/>
        <w:gridCol w:w="109"/>
        <w:gridCol w:w="109"/>
        <w:gridCol w:w="109"/>
        <w:gridCol w:w="109"/>
        <w:gridCol w:w="109"/>
        <w:gridCol w:w="109"/>
        <w:gridCol w:w="109"/>
        <w:gridCol w:w="109"/>
        <w:gridCol w:w="109"/>
        <w:gridCol w:w="200"/>
        <w:gridCol w:w="200"/>
        <w:gridCol w:w="201"/>
        <w:gridCol w:w="240"/>
        <w:gridCol w:w="241"/>
        <w:gridCol w:w="256"/>
        <w:gridCol w:w="240"/>
        <w:gridCol w:w="241"/>
        <w:gridCol w:w="256"/>
        <w:gridCol w:w="240"/>
        <w:gridCol w:w="241"/>
        <w:gridCol w:w="256"/>
        <w:gridCol w:w="375"/>
        <w:gridCol w:w="376"/>
        <w:gridCol w:w="109"/>
        <w:gridCol w:w="109"/>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op w:val="single" w:sz="8" w:space="0" w:color="000000"/>
              <w:left w:val="single" w:sz="8" w:space="0" w:color="000000"/>
              <w:bottom w:val="single" w:sz="8" w:space="0" w:color="000000"/>
            </w:tcBorders>
            <w:shd w:fill="F8F4F1" w:val="clear"/>
            <w:tcMar>
              <w:top w:w="30" w:type="dxa"/>
              <w:left w:w="14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47</w:t>
            </w:r>
          </w:p>
        </w:tc>
        <w:tc>
          <w:tcPr>
            <w:tcW w:w="601" w:type="dxa"/>
            <w:gridSpan w:val="3"/>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15,717</w:t>
            </w:r>
          </w:p>
        </w:tc>
        <w:tc>
          <w:tcPr>
            <w:tcW w:w="48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w:t>
            </w:r>
            <w:r>
              <w:rPr>
                <w:color w:val="000000"/>
              </w:rPr>
              <w:t> </w:t>
            </w:r>
          </w:p>
        </w:tc>
        <w:tc>
          <w:tcPr>
            <w:tcW w:w="256"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8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82.4</w:t>
            </w:r>
            <w:r>
              <w:rPr>
                <w:color w:val="000000"/>
              </w:rPr>
              <w:t> </w:t>
            </w:r>
          </w:p>
        </w:tc>
        <w:tc>
          <w:tcPr>
            <w:tcW w:w="256"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8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w:t>
            </w:r>
            <w:r>
              <w:rPr>
                <w:color w:val="000000"/>
              </w:rPr>
              <w:t> </w:t>
            </w:r>
          </w:p>
        </w:tc>
        <w:tc>
          <w:tcPr>
            <w:tcW w:w="256" w:type="dxa"/>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top w:val="single" w:sz="8" w:space="0" w:color="000000"/>
              <w:bottom w:val="sing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610,096</w:t>
            </w:r>
            <w:r>
              <w:rPr>
                <w:color w:val="000000"/>
              </w:rPr>
              <w:t> </w:t>
            </w:r>
          </w:p>
        </w:tc>
        <w:tc>
          <w:tcPr>
            <w:tcW w:w="109" w:type="dxa"/>
            <w:tcBorders>
              <w:top w:val="single" w:sz="8" w:space="0" w:color="000000"/>
              <w:bottom w:val="single" w:sz="8" w:space="0" w:color="000000"/>
              <w:right w:val="single" w:sz="8" w:space="0" w:color="000000"/>
            </w:tcBorders>
            <w:shd w:fill="F8F4F1"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30"/>
        <w:gridCol w:w="2864"/>
        <w:gridCol w:w="4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Economic leased percentage excludes the square footage associated with executed but not commenced leases for currently vacant spaces and the square footage associated with tenants receiving rental abatements (after proportional adjustments for tenants receiving only partial rental abatements).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Piedmont owns 98.6% of 1201 Eye Street and 98.1% of 1225 Eye Street; however, it is entitled to 100% of the cash flows for each asset pursuant to the terms of each property ownership entity's joint venture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These projects have been placed into redevelopment and are currently excluded from our in-service portfolio metrics. During the redevelopment phase, the Company is adding or fully renovating the lobbies, common areas and other tenant amenities, transforming the projects into multi-tenant assets with a distinct focus on hospitality. Assets will be reclassified back to in-service upon the earlier of (a) one year after receiving the final certificate of occupancy for the space or (b) the asset reaching 80 percent occupied (i.e. commenced leased).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7"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Property Investment Activity and Land Holdings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March 31, 2026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41" w:type="dxa"/>
        <w:jc w:val="left"/>
        <w:tblInd w:w="0" w:type="dxa"/>
        <w:tblLayout w:type="fixed"/>
        <w:tblCellMar>
          <w:top w:w="28" w:type="dxa"/>
          <w:left w:w="28" w:type="dxa"/>
          <w:bottom w:w="28" w:type="dxa"/>
          <w:right w:w="28" w:type="dxa"/>
        </w:tblCellMar>
      </w:tblPr>
      <w:tblGrid>
        <w:gridCol w:w="282"/>
        <w:gridCol w:w="248"/>
        <w:gridCol w:w="248"/>
        <w:gridCol w:w="248"/>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09"/>
        <w:gridCol w:w="109"/>
        <w:gridCol w:w="109"/>
        <w:gridCol w:w="154"/>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2"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Acquisitions Completed During Prior Year and Current Year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302" w:type="dxa"/>
        <w:jc w:val="left"/>
        <w:tblInd w:w="0" w:type="dxa"/>
        <w:tblLayout w:type="fixed"/>
        <w:tblCellMar>
          <w:top w:w="28" w:type="dxa"/>
          <w:left w:w="28" w:type="dxa"/>
          <w:bottom w:w="28" w:type="dxa"/>
          <w:right w:w="28" w:type="dxa"/>
        </w:tblCellMar>
      </w:tblPr>
      <w:tblGrid>
        <w:gridCol w:w="511"/>
        <w:gridCol w:w="449"/>
        <w:gridCol w:w="449"/>
        <w:gridCol w:w="272"/>
        <w:gridCol w:w="544"/>
        <w:gridCol w:w="544"/>
        <w:gridCol w:w="546"/>
        <w:gridCol w:w="524"/>
        <w:gridCol w:w="524"/>
        <w:gridCol w:w="526"/>
        <w:gridCol w:w="325"/>
        <w:gridCol w:w="325"/>
        <w:gridCol w:w="326"/>
        <w:gridCol w:w="320"/>
        <w:gridCol w:w="320"/>
        <w:gridCol w:w="320"/>
        <w:gridCol w:w="424"/>
        <w:gridCol w:w="424"/>
        <w:gridCol w:w="426"/>
        <w:gridCol w:w="349"/>
        <w:gridCol w:w="349"/>
        <w:gridCol w:w="351"/>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99" w:type="dxa"/>
            <w:gridSpan w:val="1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Dispositions Completed During Prior Year and Current Year</w:t>
            </w:r>
          </w:p>
        </w:tc>
        <w:tc>
          <w:tcPr>
            <w:tcW w:w="1203" w:type="dxa"/>
            <w:gridSpan w:val="4"/>
            <w:tcBorders/>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 Submarket</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Disposition Period</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Ownership</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Built</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br/>
              <w:t>(in thousands)</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Sale Price </w:t>
              <w:b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80 and 90 Central</w:t>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Boston / Boxborough</w:t>
            </w:r>
          </w:p>
        </w:tc>
        <w:tc>
          <w:tcPr>
            <w:tcW w:w="157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2025</w:t>
            </w:r>
          </w:p>
        </w:tc>
        <w:tc>
          <w:tcPr>
            <w:tcW w:w="97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960"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1988 / 2001</w:t>
            </w:r>
          </w:p>
        </w:tc>
        <w:tc>
          <w:tcPr>
            <w:tcW w:w="1274"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104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8174" w:type="dxa"/>
        <w:jc w:val="left"/>
        <w:tblInd w:w="0" w:type="dxa"/>
        <w:tblLayout w:type="fixed"/>
        <w:tblCellMar>
          <w:top w:w="28" w:type="dxa"/>
          <w:left w:w="28" w:type="dxa"/>
          <w:bottom w:w="28" w:type="dxa"/>
          <w:right w:w="28" w:type="dxa"/>
        </w:tblCellMar>
      </w:tblPr>
      <w:tblGrid>
        <w:gridCol w:w="748"/>
        <w:gridCol w:w="657"/>
        <w:gridCol w:w="664"/>
        <w:gridCol w:w="729"/>
        <w:gridCol w:w="729"/>
        <w:gridCol w:w="731"/>
        <w:gridCol w:w="739"/>
        <w:gridCol w:w="739"/>
        <w:gridCol w:w="742"/>
        <w:gridCol w:w="185"/>
        <w:gridCol w:w="185"/>
        <w:gridCol w:w="186"/>
        <w:gridCol w:w="333"/>
        <w:gridCol w:w="333"/>
        <w:gridCol w:w="474"/>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81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Developable Land Parcels</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 Submarket</w:t>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Adjacent Piedmont Project</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Acres</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Book Value</w:t>
              <w:br/>
              <w:t xml:space="preserve">(in millions) </w:t>
            </w:r>
          </w:p>
        </w:tc>
      </w:tr>
      <w:tr>
        <w:trPr/>
        <w:tc>
          <w:tcPr>
            <w:tcW w:w="206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Gavitello</w:t>
            </w:r>
          </w:p>
        </w:tc>
        <w:tc>
          <w:tcPr>
            <w:tcW w:w="218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Atlanta / Buckhead</w:t>
            </w:r>
          </w:p>
        </w:tc>
        <w:tc>
          <w:tcPr>
            <w:tcW w:w="2220"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Medici</w:t>
            </w:r>
          </w:p>
        </w:tc>
        <w:tc>
          <w:tcPr>
            <w:tcW w:w="556"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1140"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Glenridge Highlands Three</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Atlanta / Central Perimeter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Glenridge Highlands</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206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Atlanta</w:t>
            </w:r>
          </w:p>
        </w:tc>
        <w:tc>
          <w:tcPr>
            <w:tcW w:w="21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Atlanta / Northwest</w:t>
            </w:r>
          </w:p>
        </w:tc>
        <w:tc>
          <w:tcPr>
            <w:tcW w:w="22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Galleria on the Park</w:t>
            </w:r>
          </w:p>
        </w:tc>
        <w:tc>
          <w:tcPr>
            <w:tcW w:w="55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16.3</w:t>
            </w:r>
          </w:p>
        </w:tc>
        <w:tc>
          <w:tcPr>
            <w:tcW w:w="11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Highway 161</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Dallas / Las Colinas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Interlink at Las Colinas</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r>
      <w:tr>
        <w:trPr/>
        <w:tc>
          <w:tcPr>
            <w:tcW w:w="206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Royal Lane </w:t>
            </w:r>
            <w:r>
              <w:rPr>
                <w:rFonts w:ascii="Arial;sans-serif" w:hAnsi="Arial;sans-serif"/>
                <w:b w:val="false"/>
                <w:color w:val="000000"/>
                <w:sz w:val="10"/>
              </w:rPr>
              <w:t>(1)</w:t>
            </w:r>
          </w:p>
        </w:tc>
        <w:tc>
          <w:tcPr>
            <w:tcW w:w="21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Dallas / Las Colinas</w:t>
            </w:r>
          </w:p>
        </w:tc>
        <w:tc>
          <w:tcPr>
            <w:tcW w:w="22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Las Colinas Connection</w:t>
            </w:r>
          </w:p>
        </w:tc>
        <w:tc>
          <w:tcPr>
            <w:tcW w:w="55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11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Dallas</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Dallas / Lower North Tollway</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Galleria Office Towers</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r>
      <w:tr>
        <w:trPr/>
        <w:tc>
          <w:tcPr>
            <w:tcW w:w="206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TownPark</w:t>
            </w:r>
          </w:p>
        </w:tc>
        <w:tc>
          <w:tcPr>
            <w:tcW w:w="21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Orlando / Lake Mary</w:t>
            </w:r>
          </w:p>
        </w:tc>
        <w:tc>
          <w:tcPr>
            <w:tcW w:w="22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 and 500 TownPark</w:t>
            </w:r>
          </w:p>
        </w:tc>
        <w:tc>
          <w:tcPr>
            <w:tcW w:w="55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18.9</w:t>
            </w:r>
          </w:p>
        </w:tc>
        <w:tc>
          <w:tcPr>
            <w:tcW w:w="11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w:t>
            </w:r>
          </w:p>
        </w:tc>
      </w:tr>
      <w:tr>
        <w:trPr/>
        <w:tc>
          <w:tcPr>
            <w:tcW w:w="20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18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57.2</w:t>
            </w:r>
          </w:p>
        </w:tc>
        <w:tc>
          <w:tcPr>
            <w:tcW w:w="11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$50.3</w:t>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During the first quarter of 2026, the Company entered into a binding contract to sell this undeveloped land parcel for $12.0 million. The transaction is subject to several extension options; however, is expected to close later in 2026.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8"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pPr>
      <w:r>
        <w:rPr>
          <w:rFonts w:ascii="Arial;sans-serif" w:hAnsi="Arial;sans-serif"/>
          <w:b/>
          <w:color w:val="000000"/>
          <w:sz w:val="20"/>
        </w:rPr>
        <w:t>Definitions</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88"/>
        <w:gridCol w:w="2864"/>
        <w:gridCol w:w="4053"/>
      </w:tblGrid>
      <w:tr>
        <w:trPr/>
        <w:tc>
          <w:tcPr>
            <w:tcW w:w="3288"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120"/>
              <w:jc w:val="left"/>
              <w:rPr/>
            </w:pPr>
            <w:r>
              <w:rPr>
                <w:rFonts w:ascii="Arial;sans-serif" w:hAnsi="Arial;sans-serif"/>
                <w:b w:val="false"/>
                <w:color w:val="000000"/>
                <w:sz w:val="16"/>
              </w:rPr>
              <w:t xml:space="preserve">Included below are definitions of various terms used throughout this supplemental report, including definitions of certain non-GAAP financial measures and the reasons why the Company’s management believes these measures provide useful information to investors about the Company’s financial condition and results of operations. Reconciliations of any non-GAAP financial measures defined below are included beginning on page </w:t>
            </w:r>
            <w:hyperlink w:anchor="i727db7910f56455c9ef3ff41c5ece7ee_94">
              <w:r>
                <w:rPr>
                  <w:rStyle w:val="InternetLink"/>
                  <w:rFonts w:ascii="Arial;sans-serif" w:hAnsi="Arial;sans-serif"/>
                  <w:b w:val="false"/>
                  <w:strike w:val="false"/>
                  <w:dstrike w:val="false"/>
                  <w:color w:val="0A2299"/>
                  <w:sz w:val="16"/>
                  <w:u w:val="none"/>
                  <w:effect w:val="none"/>
                </w:rPr>
                <w:t>39</w:t>
              </w:r>
            </w:hyperlink>
            <w:r>
              <w:rPr>
                <w:rFonts w:ascii="Arial;sans-serif" w:hAnsi="Arial;sans-serif"/>
                <w:b w:val="false"/>
                <w:color w:val="000000"/>
                <w:sz w:val="16"/>
              </w:rPr>
              <w:t xml:space="preserve">.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Adjusted Funds From Operations ("AFFO")</w:t>
            </w:r>
            <w:r>
              <w:rPr>
                <w:rFonts w:ascii="Arial;sans-serif" w:hAnsi="Arial;sans-serif"/>
                <w:b w:val="false"/>
                <w:color w:val="000000"/>
                <w:sz w:val="14"/>
              </w:rPr>
              <w:t>: The Company calculates AFFO by starting with Core FFO and adjusting for non-incremental capital expenditures and then adding back non-cash items including: non-real estate depreciation, straight-lined rents and fair value lease adjustments, non-cash components of interest expense and compensation expense, and by making similar adjustments for joint ventures, if any. AFFO is a non-GAAP financial measure and should not be viewed as an alternative to net income calculated in accordance with GAAP as a measurement of the Company’s operating performance. The Company believes that AFFO is helpful to investors as a meaningful supplemental comparative performance measure of our ability to make incremental capital investments. Other REITs may not define AFFO in the same manner as the Company; therefore, the Company’s computation of AFFO may not be comparable to that of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Annualized Lease Revenue ("ALR")</w:t>
            </w:r>
            <w:r>
              <w:rPr>
                <w:rFonts w:ascii="Arial;sans-serif" w:hAnsi="Arial;sans-serif"/>
                <w:b w:val="false"/>
                <w:color w:val="000000"/>
                <w:sz w:val="14"/>
              </w:rPr>
              <w:t>: ALR is calculated by multiplying (i) current rental payments (defined as base rent plus operating expense reimbursements, if payable by the tenant on a monthly basis under the terms of a lease that has been executed, but excluding a) rental abatements and b) rental payments related to executed but not commenced leases for space that was covered by an existing lease), by (ii) 12. In instances in which contractual rents or operating expense reimbursements are collected on an annual, semi-annual, or quarterly basis, such amounts are multiplied by a factor of 1, 2, or 4, respectively, to calculate the annualized figure. For leases that have been executed but not commenced relating to unleased space, ALR is calculated by multiplying (i) the monthly base rental payment (excluding abatements) plus any operating expense reimbursements for the initial month of the lease term, by (ii) 12. Unless stated otherwise, this measure excludes revenues associated with development properties and properties taken out of service for redevelopment, if any.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Core EBITDA</w:t>
            </w:r>
            <w:r>
              <w:rPr>
                <w:rFonts w:ascii="Arial;sans-serif" w:hAnsi="Arial;sans-serif"/>
                <w:b w:val="false"/>
                <w:color w:val="000000"/>
                <w:sz w:val="14"/>
              </w:rPr>
              <w:t>: The Company calculates Core EBITDA as net income/(loss) (computed in accordance with GAAP) before interest, taxes, depreciation and amortization and removing any impairment charges, gains or losses from sales of property and other significant infrequent items that create volatility within our earnings and make it difficult to determine the earnings generated by our core ongoing business. Core EBITDA is a non-GAAP financial measure and should not be viewed as an alternative to net income calculated in accordance with GAAP as a measurement of the Company’s operating performance. The Company believes that Core EBITDA is helpful to investors as a supplemental performance measure because it provides a metric for understanding the performance of the Company’s results from ongoing operations without taking into account the effects of non-cash expenses (such as depreciation and amortization), as well as items that are not part of normal day-to-day operations of the Company’s business. Other REITs may not define Core EBITDA in the same manner as the Company; therefore, the Company’s computation of Core EBITDA may not be comparable to that of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Core Funds From Operations ("Core FFO")</w:t>
            </w:r>
            <w:r>
              <w:rPr>
                <w:rFonts w:ascii="Arial;sans-serif" w:hAnsi="Arial;sans-serif"/>
                <w:b w:val="false"/>
                <w:color w:val="000000"/>
                <w:sz w:val="14"/>
              </w:rPr>
              <w:t>: The Company calculates Core FFO by starting with FFO, as defined by NAREIT, and adjusting for gains or losses on the extinguishment of swaps and/or debt and any significant non-recurring items. Core FFO is a non-GAAP financial measure and should not be viewed as an alternative to net income calculated in accordance with GAAP as a measurement of the Company’s operating performance. The Company believes that Core FFO is helpful to investors as a supplemental performance measure because it excludes the effects of certain infrequent or non-recurring items which can create significant earnings volatility, but which do not directly relate to the Company’s core business operations. As a result, the Company believes that Core FFO can help facilitate comparisons of operating performance between periods and provides a more meaningful predictor of future earnings potential. Other REITs may not define Core FFO in the same manner as the Company; therefore, the Company’s computation of Core FFO may not be comparable to that of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EBITDA</w:t>
            </w:r>
            <w:r>
              <w:rPr>
                <w:rFonts w:ascii="Arial;sans-serif" w:hAnsi="Arial;sans-serif"/>
                <w:b w:val="false"/>
                <w:color w:val="000000"/>
                <w:sz w:val="14"/>
              </w:rPr>
              <w:t>: EBITDA is defined as net income/(loss) before interest, taxes, depreciation and amortization.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EBITDAre</w:t>
            </w:r>
            <w:r>
              <w:rPr>
                <w:rFonts w:ascii="Arial;sans-serif" w:hAnsi="Arial;sans-serif"/>
                <w:b w:val="false"/>
                <w:color w:val="000000"/>
                <w:sz w:val="14"/>
              </w:rPr>
              <w:t>: The Company calculates EBITDAre in accordance with the current National Association of Real Estate Investment Trusts (“NAREIT”) definition. NAREIT currently defines EBITDAre as net income/(loss) (computed in accordance with GAAP) adjusted for gains or losses from sales of property, impairment charges, depreciation on real estate assets, amortization on real estate assets, interest expense and taxes, along with the same adjustments for joint ventures. Some of the adjustments mentioned can vary among owners of identical assets in similar conditions based on historical cost accounting and useful-life estimates. EBITDAre is a non-GAAP financial measure and should not be viewed as an alternative to net income calculated in accordance with GAAP as a measurement of the Company’s operating performance. The Company believes that EBITDAre is helpful to investors as a supplemental performance measure because it provides a metric for understanding the Company’s results from ongoing operations without taking into account the effects of non-cash expenses (such as depreciation and amortization) and capitalization and capital structure expenses (such as interest expense and taxes). The Company also believes that EBITDAre can help facilitate comparisons of operating performance between periods and with other REITs. However, other REITs may not define EBITDAre in accordance with the NAREIT definition, or may interpret the current NAREIT definition differently than the Company; therefore, the Company’s computation of EBITDAre may not be comparable to that of such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Funds From Operations ("FFO")</w:t>
            </w:r>
            <w:r>
              <w:rPr>
                <w:rFonts w:ascii="Arial;sans-serif" w:hAnsi="Arial;sans-serif"/>
                <w:b w:val="false"/>
                <w:color w:val="000000"/>
                <w:sz w:val="14"/>
              </w:rPr>
              <w:t>: The Company calculates FFO in accordance with the current National Association of Real Estate Investment Trusts (“NAREIT”) definition. NAREIT currently defines FFO as net income/(loss) (calculated in accordance with GAAP), excluding depreciation and amortization related to real estate, gains and losses from the sale of certain real estate assets, gains and losses from change in control, and impairment write-downs of certain real estate assets, goodwill, and investment in entities when the impairment is directly attributable to decreases in the value of depreciable real estate held by the entity, along with appropriate adjustments to those reconciling items for joint ventures, if any. These adjustments can vary among owners of identical assets in similar conditions based on historical cost accounting and useful-life estimates. FFO is a non-GAAP financial measure and should not be viewed as an alternative to net income calculated in accordance with GAAP as a measurement of the Company’s operating performance. The Company believes that FFO is helpful to investors as a supplemental performance measure because it excludes the effects of depreciation, amortization and gains or losses from sales of real estate, all of which are based on historical costs, which implicitly assumes that the value of real estate diminishes predictably over time. The Company also believes that FFO can help facilitate comparisons of operating performance between periods and with other REITs. However, other REITs may not define FFO in accordance with the NAREIT definition, or may interpret the current NAREIT definition differently than the Company; therefore, the Company’s computation of FFO may not be comparable to that of such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Incremental Capital Expenditures</w:t>
            </w:r>
            <w:r>
              <w:rPr>
                <w:rFonts w:ascii="Arial;sans-serif" w:hAnsi="Arial;sans-serif"/>
                <w:b w:val="false"/>
                <w:color w:val="000000"/>
                <w:sz w:val="14"/>
              </w:rPr>
              <w:t>: Incremental Capital Expenditures are defined as capital expenditures of a non-recurring nature that incrementally enhance the underlying assets' income generating capacity. Tenant improvements, leasing commissions, building capital and deferred lease incentives ("Leasing Costs") incurred to lease space that was vacant at acquisition, Leasing Costs for spaces vacant for greater than one year, Leasing Costs for spaces at newly acquired properties for which in-place leases expire shortly after acquisition, improvements associated with the expansion of a building, renovations that change the underlying classification of a building, and deferred building maintenance capital identified at and completed shortly after acquisition are included in this measure.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Non-Incremental Capital Expenditures</w:t>
            </w:r>
            <w:r>
              <w:rPr>
                <w:rFonts w:ascii="Arial;sans-serif" w:hAnsi="Arial;sans-serif"/>
                <w:b w:val="false"/>
                <w:color w:val="000000"/>
                <w:sz w:val="14"/>
              </w:rPr>
              <w:t>: Non-Incremental Capital Expenditures are defined as capital expenditures of a recurring nature related to tenant improvements and leasing commissions that do not incrementally enhance the underlying assets' income generating capacity. We exclude first generation tenant improvements and leasing commissions from this measure, in addition to other capital expenditures that qualify as Incremental Capital Expenditures, as defined above.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Property Net Operating Income ("Property NOI")</w:t>
            </w:r>
            <w:r>
              <w:rPr>
                <w:rFonts w:ascii="Arial;sans-serif" w:hAnsi="Arial;sans-serif"/>
                <w:b w:val="false"/>
                <w:color w:val="000000"/>
                <w:sz w:val="14"/>
              </w:rPr>
              <w:t>: The Company calculates Property NOI by starting with Core EBITDA and adjusting for general and administrative expense, income associated with property management performed by Piedmont for other organizations and other income or expense items for the Company, such as interest income from loan investments or costs from the pursuit of non-consummated transactions. The Company may present this measure on an accrual basis or a cash basis. When presented on a cash basis, the effects of non-cash general reserve for uncollectible accounts, straight-lined rents and fair value lease revenue are also eliminated. Property NOI is a non-GAAP financial measure and should not be viewed as an alternative to net income calculated in accordance with GAAP as a measurement of the Company’s operating performance. The Company believes that Property NOI is helpful to investors as a supplemental comparative performance measure of income generated by its properties alone without the administrative overhead of the Company. Other REITs may not define Property NOI in the same manner as the Company; therefore, the Company’s computation of Property NOI may not be comparable to that of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Same Store Net Operating Income ("Same Store NOI")</w:t>
            </w:r>
            <w:r>
              <w:rPr>
                <w:rFonts w:ascii="Arial;sans-serif" w:hAnsi="Arial;sans-serif"/>
                <w:b w:val="false"/>
                <w:color w:val="000000"/>
                <w:sz w:val="14"/>
              </w:rPr>
              <w:t>: The Company calculates Same Store NOI as Property NOI attributable to the properties for which the following criteria were met during the entire span of the current and prior year reporting periods: (i) they were owned, (ii) they were not under development / redevelopment, and (iii) none of the operating expenses for which were capitalized. Same Store NOI also excludes amounts attributable to land assets. The Company may present this measure on an accrual basis or a cash basis. Same Store NOI is a non-GAAP financial measure and should not be viewed as an alternative to net income calculated in accordance with GAAP as a measurement of the Company’s operating performance. The Company believes that Same Store NOI is helpful to investors as a supplemental comparative performance measure of the income generated from the same group of properties from one period to the next. Other REITs may not define Same Store NOI in the same manner as the Company; therefore, the Company’s computation of Same Store NOI may not be comparable to that of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Same Store Properties</w:t>
            </w:r>
            <w:r>
              <w:rPr>
                <w:rFonts w:ascii="Arial;sans-serif" w:hAnsi="Arial;sans-serif"/>
                <w:b w:val="false"/>
                <w:color w:val="000000"/>
                <w:sz w:val="14"/>
              </w:rPr>
              <w:t>: Same Store Properties is defined as those properties for which the following criteria were met during the entire span of the current and prior year reporting periods: (i) they were owned, (ii) they were not under development / redevelopment, and (iii) none of the operating expenses for which were capitalized. Same Store Properties excludes land assets.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Total Gross Assets</w:t>
            </w:r>
            <w:r>
              <w:rPr>
                <w:rFonts w:ascii="Arial;sans-serif" w:hAnsi="Arial;sans-serif"/>
                <w:b w:val="false"/>
                <w:color w:val="000000"/>
                <w:sz w:val="14"/>
              </w:rPr>
              <w:t>: Total Gross Assets is defined as total assets with the add-back of accumulated depreciation and accumulated amortization related to real estate assets and accumulated amortization related to deferred lease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Total Gross Real Estate Assets</w:t>
            </w:r>
            <w:r>
              <w:rPr>
                <w:rFonts w:ascii="Arial;sans-serif" w:hAnsi="Arial;sans-serif"/>
                <w:b w:val="false"/>
                <w:color w:val="000000"/>
                <w:sz w:val="14"/>
              </w:rPr>
              <w:t>: Total Gross Real Estate Assets is defined as total real estate assets with the add-back of accumulated depreciation and accumulated amortization related to real estate assets.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9"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Non-GAAP Reconciliation: </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GAAP Net Income / (Loss) to FFO, Core FFO, and AFFO</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7"/>
        <w:gridCol w:w="1032"/>
        <w:gridCol w:w="1039"/>
        <w:gridCol w:w="196"/>
        <w:gridCol w:w="694"/>
        <w:gridCol w:w="109"/>
        <w:gridCol w:w="109"/>
        <w:gridCol w:w="109"/>
        <w:gridCol w:w="109"/>
        <w:gridCol w:w="196"/>
        <w:gridCol w:w="694"/>
        <w:gridCol w:w="109"/>
        <w:gridCol w:w="109"/>
        <w:gridCol w:w="109"/>
        <w:gridCol w:w="109"/>
        <w:gridCol w:w="196"/>
        <w:gridCol w:w="694"/>
        <w:gridCol w:w="109"/>
        <w:gridCol w:w="109"/>
        <w:gridCol w:w="109"/>
        <w:gridCol w:w="109"/>
        <w:gridCol w:w="196"/>
        <w:gridCol w:w="694"/>
        <w:gridCol w:w="109"/>
        <w:gridCol w:w="109"/>
        <w:gridCol w:w="109"/>
        <w:gridCol w:w="109"/>
        <w:gridCol w:w="196"/>
        <w:gridCol w:w="694"/>
        <w:gridCol w:w="109"/>
        <w:gridCol w:w="109"/>
        <w:gridCol w:w="109"/>
        <w:gridCol w:w="109"/>
        <w:gridCol w:w="157"/>
      </w:tblGrid>
      <w:tr>
        <w:trPr/>
        <w:tc>
          <w:tcPr>
            <w:tcW w:w="134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net loss applicable to common stock</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(12,920)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(13,462)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(10,104)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w:t>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NAREIT Funds From Operations applicable to common stock</w:t>
            </w:r>
          </w:p>
        </w:tc>
        <w:tc>
          <w:tcPr>
            <w:tcW w:w="89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46,018</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14,417</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43,485</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37,012</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45,033</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29,788 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Funds From Operations applicable to common stock</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46,018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debt issuance costs and discounts on debt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non real estate assets</w:t>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Straight-line effects of lease revenue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adjustments</w:t>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lease-related intangibles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Non-incremental capital expenditures</w:t>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Base Building Costs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Tenant Improvement Costs</w:t>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Leasing Commission Costs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Funds From Operations applicable to common stock</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0"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Non-GAAP Reconciliation: </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GAAP Net Income/(Loss) to Core EBITDA and Same Store Net Operating Income (Cash Basis)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37"/>
        <w:gridCol w:w="1045"/>
        <w:gridCol w:w="1052"/>
        <w:gridCol w:w="196"/>
        <w:gridCol w:w="711"/>
        <w:gridCol w:w="109"/>
        <w:gridCol w:w="109"/>
        <w:gridCol w:w="109"/>
        <w:gridCol w:w="109"/>
        <w:gridCol w:w="196"/>
        <w:gridCol w:w="711"/>
        <w:gridCol w:w="109"/>
        <w:gridCol w:w="109"/>
        <w:gridCol w:w="109"/>
        <w:gridCol w:w="109"/>
        <w:gridCol w:w="196"/>
        <w:gridCol w:w="711"/>
        <w:gridCol w:w="109"/>
        <w:gridCol w:w="109"/>
        <w:gridCol w:w="109"/>
        <w:gridCol w:w="109"/>
        <w:gridCol w:w="196"/>
        <w:gridCol w:w="711"/>
        <w:gridCol w:w="109"/>
        <w:gridCol w:w="109"/>
        <w:gridCol w:w="109"/>
        <w:gridCol w:w="109"/>
        <w:gridCol w:w="196"/>
        <w:gridCol w:w="711"/>
        <w:gridCol w:w="109"/>
        <w:gridCol w:w="109"/>
        <w:gridCol w:w="109"/>
        <w:gridCol w:w="109"/>
        <w:gridCol w:w="156"/>
      </w:tblGrid>
      <w:tr>
        <w:trPr/>
        <w:tc>
          <w:tcPr>
            <w:tcW w:w="12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net loss applicable to Piedmont</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(12,920)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(13,462)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(10,104)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applicable to noncontrolling interest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31,954 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EBITDAre</w:t>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78,304</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47,194</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75,826</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69,356</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77,105</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EBITDA</w:t>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78,304</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76,982</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75,826</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76,856</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77,605</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 revenue</w:t>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Straight-line effects of lease revenue</w:t>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lease-related intangibles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net operating income (cash basis)</w:t>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79,615</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78,165</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75,057</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73,786</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73,086</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 net operating (income) loss from:</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w:t>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Dispositions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investments</w:t>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net operating income (cash basis)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79,987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73,431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72,024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1"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before="0" w:after="283"/>
        <w:jc w:val="left"/>
        <w:rPr/>
      </w:pPr>
      <w:r>
        <w:rPr/>
        <w:drawing>
          <wp:inline distT="0" distB="0" distL="0" distR="0">
            <wp:extent cx="10058400" cy="7772400"/>
            <wp:effectExtent l="0" t="0" r="0" b="0"/>
            <wp:docPr id="5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8" descr=""/>
                    <pic:cNvPicPr>
                      <a:picLocks noChangeAspect="1" noChangeArrowheads="1"/>
                    </pic:cNvPicPr>
                  </pic:nvPicPr>
                  <pic:blipFill>
                    <a:blip r:embed="rId9"/>
                    <a:stretch>
                      <a:fillRect/>
                    </a:stretch>
                  </pic:blipFill>
                  <pic:spPr bwMode="auto">
                    <a:xfrm>
                      <a:off x="0" y="0"/>
                      <a:ext cx="10058400" cy="77724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14997</Words>
  <Characters>81289</Characters>
  <CharactersWithSpaces>93407</CharactersWithSpaces>
  <Paragraphs>4376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